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620CC" w14:textId="77777777" w:rsidR="00E062B8" w:rsidRDefault="00E062B8" w:rsidP="00E062B8">
      <w:pPr>
        <w:pStyle w:val="NormalnyWeb"/>
        <w:spacing w:before="0" w:beforeAutospacing="0" w:after="0" w:afterAutospacing="0"/>
        <w:jc w:val="both"/>
      </w:pPr>
      <w:bookmarkStart w:id="0" w:name="_Hlk195604990"/>
      <w:r>
        <w:rPr>
          <w:color w:val="000000"/>
        </w:rPr>
        <w:t xml:space="preserve">Dr hab. Adam </w:t>
      </w:r>
      <w:proofErr w:type="spellStart"/>
      <w:r>
        <w:rPr>
          <w:color w:val="000000"/>
        </w:rPr>
        <w:t>Taracha</w:t>
      </w:r>
      <w:proofErr w:type="spellEnd"/>
      <w:r>
        <w:rPr>
          <w:color w:val="000000"/>
        </w:rPr>
        <w:t xml:space="preserve">  prof. UMCS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p>
    <w:p w14:paraId="03052F78" w14:textId="77777777" w:rsidR="00E062B8" w:rsidRDefault="00E062B8" w:rsidP="00E062B8">
      <w:pPr>
        <w:pStyle w:val="NormalnyWeb"/>
        <w:spacing w:before="0" w:beforeAutospacing="0" w:after="0" w:afterAutospacing="0"/>
        <w:jc w:val="both"/>
      </w:pPr>
      <w:r>
        <w:rPr>
          <w:color w:val="000000"/>
        </w:rPr>
        <w:t>Zespół Badawczy Kryminalistyki i Prawa Dowodowego</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w:t>
      </w:r>
    </w:p>
    <w:p w14:paraId="78FABDA5" w14:textId="77777777" w:rsidR="00E062B8" w:rsidRDefault="00E062B8" w:rsidP="00E062B8">
      <w:pPr>
        <w:pStyle w:val="NormalnyWeb"/>
        <w:spacing w:before="0" w:beforeAutospacing="0" w:after="0" w:afterAutospacing="0"/>
        <w:jc w:val="both"/>
      </w:pPr>
      <w:r>
        <w:rPr>
          <w:color w:val="000000"/>
        </w:rPr>
        <w:t>Instytut Prawa UMCS</w:t>
      </w:r>
    </w:p>
    <w:p w14:paraId="464A65D8" w14:textId="77777777" w:rsidR="00E062B8" w:rsidRDefault="00E062B8" w:rsidP="00E062B8">
      <w:pPr>
        <w:pStyle w:val="NormalnyWeb"/>
        <w:spacing w:before="0" w:beforeAutospacing="0" w:after="0" w:afterAutospacing="0"/>
        <w:jc w:val="both"/>
      </w:pPr>
      <w:r>
        <w:rPr>
          <w:color w:val="000000"/>
        </w:rPr>
        <w:t>Uniwersytet Marii Curie-Skłodowskiej w Lublinie</w:t>
      </w:r>
    </w:p>
    <w:p w14:paraId="2863124A" w14:textId="32C48D50" w:rsidR="00E062B8" w:rsidRDefault="00E062B8" w:rsidP="00E062B8">
      <w:pPr>
        <w:pStyle w:val="NormalnyWeb"/>
        <w:spacing w:before="0" w:beforeAutospacing="0" w:after="0" w:afterAutospacing="0"/>
        <w:jc w:val="both"/>
      </w:pPr>
      <w:r w:rsidRPr="00E062B8">
        <w:t>adam.taracha@mail.umcs.pl</w:t>
      </w:r>
    </w:p>
    <w:p w14:paraId="16C64F06" w14:textId="4A45F20D" w:rsidR="00E062B8" w:rsidRDefault="00E062B8" w:rsidP="00E062B8">
      <w:pPr>
        <w:pStyle w:val="NormalnyWeb"/>
        <w:spacing w:before="0" w:beforeAutospacing="0" w:after="0" w:afterAutospacing="0"/>
        <w:jc w:val="both"/>
      </w:pPr>
      <w:r w:rsidRPr="00E062B8">
        <w:t>https://orcid.org/0000-0001-8630-2496</w:t>
      </w:r>
      <w:r>
        <w:rPr>
          <w:color w:val="000000"/>
        </w:rPr>
        <w:t> </w:t>
      </w:r>
    </w:p>
    <w:p w14:paraId="26BE08B3" w14:textId="77777777" w:rsidR="00E062B8" w:rsidRDefault="00E062B8" w:rsidP="005F5E2F">
      <w:pPr>
        <w:autoSpaceDE w:val="0"/>
        <w:autoSpaceDN w:val="0"/>
        <w:adjustRightInd w:val="0"/>
        <w:spacing w:line="360" w:lineRule="auto"/>
        <w:ind w:firstLine="708"/>
        <w:jc w:val="both"/>
      </w:pPr>
    </w:p>
    <w:p w14:paraId="5A1B8979" w14:textId="2961CE2A" w:rsidR="00C42AEE" w:rsidRDefault="00212519" w:rsidP="005F5E2F">
      <w:pPr>
        <w:autoSpaceDE w:val="0"/>
        <w:autoSpaceDN w:val="0"/>
        <w:adjustRightInd w:val="0"/>
        <w:spacing w:line="360" w:lineRule="auto"/>
        <w:ind w:firstLine="708"/>
        <w:jc w:val="both"/>
        <w:rPr>
          <w:rFonts w:eastAsiaTheme="minorHAnsi"/>
          <w:b/>
          <w:lang w:eastAsia="en-US"/>
        </w:rPr>
      </w:pPr>
      <w:r w:rsidRPr="00212519">
        <w:rPr>
          <w:rFonts w:eastAsiaTheme="minorHAnsi"/>
          <w:b/>
          <w:lang w:eastAsia="en-US"/>
        </w:rPr>
        <w:t>Program "</w:t>
      </w:r>
      <w:proofErr w:type="spellStart"/>
      <w:r w:rsidRPr="00212519">
        <w:rPr>
          <w:rFonts w:eastAsiaTheme="minorHAnsi"/>
          <w:b/>
          <w:lang w:eastAsia="en-US"/>
        </w:rPr>
        <w:t>Pegasus</w:t>
      </w:r>
      <w:proofErr w:type="spellEnd"/>
      <w:r w:rsidRPr="00212519">
        <w:rPr>
          <w:rFonts w:eastAsiaTheme="minorHAnsi"/>
          <w:b/>
          <w:lang w:eastAsia="en-US"/>
        </w:rPr>
        <w:t xml:space="preserve">" to legalny środek techniczny stosowany w czasie kontroli operacyjnej - </w:t>
      </w:r>
      <w:r w:rsidR="007E274C">
        <w:rPr>
          <w:rFonts w:eastAsiaTheme="minorHAnsi"/>
          <w:b/>
          <w:lang w:eastAsia="en-US"/>
        </w:rPr>
        <w:t>g</w:t>
      </w:r>
      <w:r w:rsidRPr="00212519">
        <w:rPr>
          <w:rFonts w:eastAsiaTheme="minorHAnsi"/>
          <w:b/>
          <w:lang w:eastAsia="en-US"/>
        </w:rPr>
        <w:t xml:space="preserve">losa do wyroku Sądu Apelacyjnego we Wrocławiu z dnia 11 maja 2023 r. II </w:t>
      </w:r>
      <w:proofErr w:type="spellStart"/>
      <w:r w:rsidRPr="00212519">
        <w:rPr>
          <w:rFonts w:eastAsiaTheme="minorHAnsi"/>
          <w:b/>
          <w:lang w:eastAsia="en-US"/>
        </w:rPr>
        <w:t>AKa</w:t>
      </w:r>
      <w:proofErr w:type="spellEnd"/>
      <w:r w:rsidRPr="00212519">
        <w:rPr>
          <w:rFonts w:eastAsiaTheme="minorHAnsi"/>
          <w:b/>
          <w:lang w:eastAsia="en-US"/>
        </w:rPr>
        <w:t xml:space="preserve"> 480/21</w:t>
      </w:r>
    </w:p>
    <w:p w14:paraId="447FD779" w14:textId="77777777" w:rsidR="00672B8B" w:rsidRDefault="00672B8B" w:rsidP="005F5E2F">
      <w:pPr>
        <w:autoSpaceDE w:val="0"/>
        <w:autoSpaceDN w:val="0"/>
        <w:adjustRightInd w:val="0"/>
        <w:spacing w:line="360" w:lineRule="auto"/>
        <w:ind w:firstLine="708"/>
        <w:jc w:val="both"/>
        <w:rPr>
          <w:rFonts w:eastAsiaTheme="minorHAnsi"/>
          <w:b/>
          <w:lang w:eastAsia="en-US"/>
        </w:rPr>
      </w:pPr>
    </w:p>
    <w:p w14:paraId="48271CB1" w14:textId="55E81BD0" w:rsidR="00672B8B" w:rsidRPr="00672B8B" w:rsidRDefault="00672B8B" w:rsidP="005F5E2F">
      <w:pPr>
        <w:autoSpaceDE w:val="0"/>
        <w:autoSpaceDN w:val="0"/>
        <w:adjustRightInd w:val="0"/>
        <w:spacing w:line="360" w:lineRule="auto"/>
        <w:ind w:firstLine="708"/>
        <w:jc w:val="both"/>
        <w:rPr>
          <w:rFonts w:eastAsiaTheme="minorHAnsi"/>
          <w:b/>
          <w:lang w:eastAsia="en-US"/>
        </w:rPr>
      </w:pPr>
      <w:r w:rsidRPr="00672B8B">
        <w:rPr>
          <w:b/>
        </w:rPr>
        <w:t>“The ‘</w:t>
      </w:r>
      <w:proofErr w:type="spellStart"/>
      <w:r w:rsidRPr="00672B8B">
        <w:rPr>
          <w:b/>
        </w:rPr>
        <w:t>Pegasus</w:t>
      </w:r>
      <w:proofErr w:type="spellEnd"/>
      <w:r w:rsidRPr="00672B8B">
        <w:rPr>
          <w:b/>
        </w:rPr>
        <w:t xml:space="preserve">’ Program as a </w:t>
      </w:r>
      <w:proofErr w:type="spellStart"/>
      <w:r w:rsidRPr="00672B8B">
        <w:rPr>
          <w:b/>
        </w:rPr>
        <w:t>Legal</w:t>
      </w:r>
      <w:proofErr w:type="spellEnd"/>
      <w:r w:rsidRPr="00672B8B">
        <w:rPr>
          <w:b/>
        </w:rPr>
        <w:t xml:space="preserve"> Technical </w:t>
      </w:r>
      <w:proofErr w:type="spellStart"/>
      <w:r w:rsidRPr="00672B8B">
        <w:rPr>
          <w:b/>
        </w:rPr>
        <w:t>Measure</w:t>
      </w:r>
      <w:proofErr w:type="spellEnd"/>
      <w:r w:rsidRPr="00672B8B">
        <w:rPr>
          <w:b/>
        </w:rPr>
        <w:t xml:space="preserve"> </w:t>
      </w:r>
      <w:proofErr w:type="spellStart"/>
      <w:r w:rsidRPr="00672B8B">
        <w:rPr>
          <w:b/>
        </w:rPr>
        <w:t>Used</w:t>
      </w:r>
      <w:proofErr w:type="spellEnd"/>
      <w:r w:rsidRPr="00672B8B">
        <w:rPr>
          <w:b/>
        </w:rPr>
        <w:t xml:space="preserve"> in the Course of </w:t>
      </w:r>
      <w:proofErr w:type="spellStart"/>
      <w:r w:rsidRPr="00672B8B">
        <w:rPr>
          <w:b/>
        </w:rPr>
        <w:t>Operational</w:t>
      </w:r>
      <w:proofErr w:type="spellEnd"/>
      <w:r w:rsidRPr="00672B8B">
        <w:rPr>
          <w:b/>
        </w:rPr>
        <w:t xml:space="preserve"> </w:t>
      </w:r>
      <w:proofErr w:type="spellStart"/>
      <w:r w:rsidRPr="00672B8B">
        <w:rPr>
          <w:b/>
        </w:rPr>
        <w:t>Surveillance</w:t>
      </w:r>
      <w:proofErr w:type="spellEnd"/>
      <w:r w:rsidRPr="00672B8B">
        <w:rPr>
          <w:b/>
        </w:rPr>
        <w:t xml:space="preserve"> – </w:t>
      </w:r>
      <w:proofErr w:type="spellStart"/>
      <w:r w:rsidRPr="00672B8B">
        <w:rPr>
          <w:b/>
        </w:rPr>
        <w:t>Commentary</w:t>
      </w:r>
      <w:proofErr w:type="spellEnd"/>
      <w:r w:rsidRPr="00672B8B">
        <w:rPr>
          <w:b/>
        </w:rPr>
        <w:t xml:space="preserve"> on the </w:t>
      </w:r>
      <w:proofErr w:type="spellStart"/>
      <w:r w:rsidRPr="00672B8B">
        <w:rPr>
          <w:b/>
        </w:rPr>
        <w:t>Judgment</w:t>
      </w:r>
      <w:proofErr w:type="spellEnd"/>
      <w:r w:rsidRPr="00672B8B">
        <w:rPr>
          <w:b/>
        </w:rPr>
        <w:t xml:space="preserve"> of the Court of </w:t>
      </w:r>
      <w:proofErr w:type="spellStart"/>
      <w:r w:rsidRPr="00672B8B">
        <w:rPr>
          <w:b/>
        </w:rPr>
        <w:t>Appeal</w:t>
      </w:r>
      <w:proofErr w:type="spellEnd"/>
      <w:r w:rsidRPr="00672B8B">
        <w:rPr>
          <w:b/>
        </w:rPr>
        <w:t xml:space="preserve"> in Wrocław of 11 May 2023, Case No. II </w:t>
      </w:r>
      <w:proofErr w:type="spellStart"/>
      <w:r w:rsidRPr="00672B8B">
        <w:rPr>
          <w:b/>
        </w:rPr>
        <w:t>AKa</w:t>
      </w:r>
      <w:proofErr w:type="spellEnd"/>
      <w:r w:rsidRPr="00672B8B">
        <w:rPr>
          <w:b/>
        </w:rPr>
        <w:t xml:space="preserve"> 480/21”</w:t>
      </w:r>
    </w:p>
    <w:p w14:paraId="292027AC" w14:textId="77777777" w:rsidR="00E062B8" w:rsidRDefault="00E062B8" w:rsidP="00E062B8">
      <w:pPr>
        <w:spacing w:line="360" w:lineRule="auto"/>
        <w:ind w:firstLine="708"/>
        <w:jc w:val="both"/>
      </w:pPr>
    </w:p>
    <w:p w14:paraId="519EC361" w14:textId="6504FF8A" w:rsidR="00E062B8" w:rsidRPr="007E274C" w:rsidRDefault="00E062B8" w:rsidP="007E274C">
      <w:pPr>
        <w:spacing w:line="360" w:lineRule="auto"/>
        <w:jc w:val="both"/>
        <w:rPr>
          <w:sz w:val="20"/>
          <w:szCs w:val="20"/>
        </w:rPr>
      </w:pPr>
      <w:r w:rsidRPr="007E274C">
        <w:rPr>
          <w:sz w:val="20"/>
          <w:szCs w:val="20"/>
        </w:rPr>
        <w:t>abstrakt w języku angielskim:</w:t>
      </w:r>
    </w:p>
    <w:p w14:paraId="52BA4E88" w14:textId="77777777" w:rsidR="00E062B8" w:rsidRPr="007E274C" w:rsidRDefault="00E062B8" w:rsidP="007E274C">
      <w:pPr>
        <w:spacing w:line="360" w:lineRule="auto"/>
        <w:ind w:firstLine="708"/>
        <w:jc w:val="both"/>
        <w:rPr>
          <w:sz w:val="20"/>
          <w:szCs w:val="20"/>
        </w:rPr>
      </w:pPr>
      <w:r w:rsidRPr="007E274C">
        <w:rPr>
          <w:sz w:val="20"/>
          <w:szCs w:val="20"/>
        </w:rPr>
        <w:t xml:space="preserve">The </w:t>
      </w:r>
      <w:proofErr w:type="spellStart"/>
      <w:r w:rsidRPr="007E274C">
        <w:rPr>
          <w:sz w:val="20"/>
          <w:szCs w:val="20"/>
        </w:rPr>
        <w:t>author</w:t>
      </w:r>
      <w:proofErr w:type="spellEnd"/>
      <w:r w:rsidRPr="007E274C">
        <w:rPr>
          <w:sz w:val="20"/>
          <w:szCs w:val="20"/>
        </w:rPr>
        <w:t xml:space="preserve"> </w:t>
      </w:r>
      <w:proofErr w:type="spellStart"/>
      <w:r w:rsidRPr="007E274C">
        <w:rPr>
          <w:sz w:val="20"/>
          <w:szCs w:val="20"/>
        </w:rPr>
        <w:t>critically</w:t>
      </w:r>
      <w:proofErr w:type="spellEnd"/>
      <w:r w:rsidRPr="007E274C">
        <w:rPr>
          <w:sz w:val="20"/>
          <w:szCs w:val="20"/>
        </w:rPr>
        <w:t xml:space="preserve"> </w:t>
      </w:r>
      <w:proofErr w:type="spellStart"/>
      <w:r w:rsidRPr="007E274C">
        <w:rPr>
          <w:sz w:val="20"/>
          <w:szCs w:val="20"/>
        </w:rPr>
        <w:t>evaluates</w:t>
      </w:r>
      <w:proofErr w:type="spellEnd"/>
      <w:r w:rsidRPr="007E274C">
        <w:rPr>
          <w:sz w:val="20"/>
          <w:szCs w:val="20"/>
        </w:rPr>
        <w:t xml:space="preserve"> the </w:t>
      </w:r>
      <w:proofErr w:type="spellStart"/>
      <w:r w:rsidRPr="007E274C">
        <w:rPr>
          <w:sz w:val="20"/>
          <w:szCs w:val="20"/>
        </w:rPr>
        <w:t>position</w:t>
      </w:r>
      <w:proofErr w:type="spellEnd"/>
      <w:r w:rsidRPr="007E274C">
        <w:rPr>
          <w:sz w:val="20"/>
          <w:szCs w:val="20"/>
        </w:rPr>
        <w:t xml:space="preserve"> of the Court of </w:t>
      </w:r>
      <w:proofErr w:type="spellStart"/>
      <w:r w:rsidRPr="007E274C">
        <w:rPr>
          <w:sz w:val="20"/>
          <w:szCs w:val="20"/>
        </w:rPr>
        <w:t>Appeal</w:t>
      </w:r>
      <w:proofErr w:type="spellEnd"/>
      <w:r w:rsidRPr="007E274C">
        <w:rPr>
          <w:sz w:val="20"/>
          <w:szCs w:val="20"/>
        </w:rPr>
        <w:t xml:space="preserve"> in Wrocław </w:t>
      </w:r>
      <w:proofErr w:type="spellStart"/>
      <w:r w:rsidRPr="007E274C">
        <w:rPr>
          <w:sz w:val="20"/>
          <w:szCs w:val="20"/>
        </w:rPr>
        <w:t>expressed</w:t>
      </w:r>
      <w:proofErr w:type="spellEnd"/>
      <w:r w:rsidRPr="007E274C">
        <w:rPr>
          <w:sz w:val="20"/>
          <w:szCs w:val="20"/>
        </w:rPr>
        <w:t xml:space="preserve"> in the </w:t>
      </w:r>
      <w:proofErr w:type="spellStart"/>
      <w:r w:rsidRPr="007E274C">
        <w:rPr>
          <w:sz w:val="20"/>
          <w:szCs w:val="20"/>
        </w:rPr>
        <w:t>judgment</w:t>
      </w:r>
      <w:proofErr w:type="spellEnd"/>
      <w:r w:rsidRPr="007E274C">
        <w:rPr>
          <w:sz w:val="20"/>
          <w:szCs w:val="20"/>
        </w:rPr>
        <w:t xml:space="preserve"> of May 11, 2023 (</w:t>
      </w:r>
      <w:proofErr w:type="spellStart"/>
      <w:r w:rsidRPr="007E274C">
        <w:rPr>
          <w:sz w:val="20"/>
          <w:szCs w:val="20"/>
        </w:rPr>
        <w:t>case</w:t>
      </w:r>
      <w:proofErr w:type="spellEnd"/>
      <w:r w:rsidRPr="007E274C">
        <w:rPr>
          <w:sz w:val="20"/>
          <w:szCs w:val="20"/>
        </w:rPr>
        <w:t xml:space="preserve"> no. II </w:t>
      </w:r>
      <w:proofErr w:type="spellStart"/>
      <w:r w:rsidRPr="007E274C">
        <w:rPr>
          <w:sz w:val="20"/>
          <w:szCs w:val="20"/>
        </w:rPr>
        <w:t>AKa</w:t>
      </w:r>
      <w:proofErr w:type="spellEnd"/>
      <w:r w:rsidRPr="007E274C">
        <w:rPr>
          <w:sz w:val="20"/>
          <w:szCs w:val="20"/>
        </w:rPr>
        <w:t xml:space="preserve"> 480/21), in </w:t>
      </w:r>
      <w:proofErr w:type="spellStart"/>
      <w:r w:rsidRPr="007E274C">
        <w:rPr>
          <w:sz w:val="20"/>
          <w:szCs w:val="20"/>
        </w:rPr>
        <w:t>which</w:t>
      </w:r>
      <w:proofErr w:type="spellEnd"/>
      <w:r w:rsidRPr="007E274C">
        <w:rPr>
          <w:sz w:val="20"/>
          <w:szCs w:val="20"/>
        </w:rPr>
        <w:t xml:space="preserve"> the Court </w:t>
      </w:r>
      <w:proofErr w:type="spellStart"/>
      <w:r w:rsidRPr="007E274C">
        <w:rPr>
          <w:sz w:val="20"/>
          <w:szCs w:val="20"/>
        </w:rPr>
        <w:t>deemed</w:t>
      </w:r>
      <w:proofErr w:type="spellEnd"/>
      <w:r w:rsidRPr="007E274C">
        <w:rPr>
          <w:sz w:val="20"/>
          <w:szCs w:val="20"/>
        </w:rPr>
        <w:t xml:space="preserve"> the </w:t>
      </w:r>
      <w:proofErr w:type="spellStart"/>
      <w:r w:rsidRPr="007E274C">
        <w:rPr>
          <w:sz w:val="20"/>
          <w:szCs w:val="20"/>
        </w:rPr>
        <w:t>use</w:t>
      </w:r>
      <w:proofErr w:type="spellEnd"/>
      <w:r w:rsidRPr="007E274C">
        <w:rPr>
          <w:sz w:val="20"/>
          <w:szCs w:val="20"/>
        </w:rPr>
        <w:t xml:space="preserve"> of </w:t>
      </w:r>
      <w:proofErr w:type="spellStart"/>
      <w:r w:rsidRPr="007E274C">
        <w:rPr>
          <w:sz w:val="20"/>
          <w:szCs w:val="20"/>
        </w:rPr>
        <w:t>technical</w:t>
      </w:r>
      <w:proofErr w:type="spellEnd"/>
      <w:r w:rsidRPr="007E274C">
        <w:rPr>
          <w:sz w:val="20"/>
          <w:szCs w:val="20"/>
        </w:rPr>
        <w:t xml:space="preserve"> </w:t>
      </w:r>
      <w:proofErr w:type="spellStart"/>
      <w:r w:rsidRPr="007E274C">
        <w:rPr>
          <w:sz w:val="20"/>
          <w:szCs w:val="20"/>
        </w:rPr>
        <w:t>measures</w:t>
      </w:r>
      <w:proofErr w:type="spellEnd"/>
      <w:r w:rsidRPr="007E274C">
        <w:rPr>
          <w:sz w:val="20"/>
          <w:szCs w:val="20"/>
        </w:rPr>
        <w:t xml:space="preserve"> </w:t>
      </w:r>
      <w:proofErr w:type="spellStart"/>
      <w:r w:rsidRPr="007E274C">
        <w:rPr>
          <w:sz w:val="20"/>
          <w:szCs w:val="20"/>
        </w:rPr>
        <w:t>resembling</w:t>
      </w:r>
      <w:proofErr w:type="spellEnd"/>
      <w:r w:rsidRPr="007E274C">
        <w:rPr>
          <w:sz w:val="20"/>
          <w:szCs w:val="20"/>
        </w:rPr>
        <w:t xml:space="preserve"> the </w:t>
      </w:r>
      <w:proofErr w:type="spellStart"/>
      <w:r w:rsidRPr="007E274C">
        <w:rPr>
          <w:sz w:val="20"/>
          <w:szCs w:val="20"/>
        </w:rPr>
        <w:t>Pegasus</w:t>
      </w:r>
      <w:proofErr w:type="spellEnd"/>
      <w:r w:rsidRPr="007E274C">
        <w:rPr>
          <w:sz w:val="20"/>
          <w:szCs w:val="20"/>
        </w:rPr>
        <w:t xml:space="preserve"> software in </w:t>
      </w:r>
      <w:proofErr w:type="spellStart"/>
      <w:r w:rsidRPr="007E274C">
        <w:rPr>
          <w:sz w:val="20"/>
          <w:szCs w:val="20"/>
        </w:rPr>
        <w:t>operational</w:t>
      </w:r>
      <w:proofErr w:type="spellEnd"/>
      <w:r w:rsidRPr="007E274C">
        <w:rPr>
          <w:sz w:val="20"/>
          <w:szCs w:val="20"/>
        </w:rPr>
        <w:t xml:space="preserve"> </w:t>
      </w:r>
      <w:proofErr w:type="spellStart"/>
      <w:r w:rsidRPr="007E274C">
        <w:rPr>
          <w:sz w:val="20"/>
          <w:szCs w:val="20"/>
        </w:rPr>
        <w:t>surveillance</w:t>
      </w:r>
      <w:proofErr w:type="spellEnd"/>
      <w:r w:rsidRPr="007E274C">
        <w:rPr>
          <w:sz w:val="20"/>
          <w:szCs w:val="20"/>
        </w:rPr>
        <w:t xml:space="preserve"> as </w:t>
      </w:r>
      <w:proofErr w:type="spellStart"/>
      <w:r w:rsidRPr="007E274C">
        <w:rPr>
          <w:sz w:val="20"/>
          <w:szCs w:val="20"/>
        </w:rPr>
        <w:t>illegal</w:t>
      </w:r>
      <w:proofErr w:type="spellEnd"/>
      <w:r w:rsidRPr="007E274C">
        <w:rPr>
          <w:sz w:val="20"/>
          <w:szCs w:val="20"/>
        </w:rPr>
        <w:t xml:space="preserve">. The </w:t>
      </w:r>
      <w:proofErr w:type="spellStart"/>
      <w:r w:rsidRPr="007E274C">
        <w:rPr>
          <w:sz w:val="20"/>
          <w:szCs w:val="20"/>
        </w:rPr>
        <w:t>author</w:t>
      </w:r>
      <w:proofErr w:type="spellEnd"/>
      <w:r w:rsidRPr="007E274C">
        <w:rPr>
          <w:sz w:val="20"/>
          <w:szCs w:val="20"/>
        </w:rPr>
        <w:t xml:space="preserve"> </w:t>
      </w:r>
      <w:proofErr w:type="spellStart"/>
      <w:r w:rsidRPr="007E274C">
        <w:rPr>
          <w:sz w:val="20"/>
          <w:szCs w:val="20"/>
        </w:rPr>
        <w:t>argues</w:t>
      </w:r>
      <w:proofErr w:type="spellEnd"/>
      <w:r w:rsidRPr="007E274C">
        <w:rPr>
          <w:sz w:val="20"/>
          <w:szCs w:val="20"/>
        </w:rPr>
        <w:t xml:space="preserve"> </w:t>
      </w:r>
      <w:proofErr w:type="spellStart"/>
      <w:r w:rsidRPr="007E274C">
        <w:rPr>
          <w:sz w:val="20"/>
          <w:szCs w:val="20"/>
        </w:rPr>
        <w:t>that</w:t>
      </w:r>
      <w:proofErr w:type="spellEnd"/>
      <w:r w:rsidRPr="007E274C">
        <w:rPr>
          <w:sz w:val="20"/>
          <w:szCs w:val="20"/>
        </w:rPr>
        <w:t xml:space="preserve"> police </w:t>
      </w:r>
      <w:proofErr w:type="spellStart"/>
      <w:r w:rsidRPr="007E274C">
        <w:rPr>
          <w:sz w:val="20"/>
          <w:szCs w:val="20"/>
        </w:rPr>
        <w:t>legislation</w:t>
      </w:r>
      <w:proofErr w:type="spellEnd"/>
      <w:r w:rsidRPr="007E274C">
        <w:rPr>
          <w:sz w:val="20"/>
          <w:szCs w:val="20"/>
        </w:rPr>
        <w:t xml:space="preserve"> (</w:t>
      </w:r>
      <w:proofErr w:type="spellStart"/>
      <w:r w:rsidRPr="007E274C">
        <w:rPr>
          <w:sz w:val="20"/>
          <w:szCs w:val="20"/>
        </w:rPr>
        <w:t>including</w:t>
      </w:r>
      <w:proofErr w:type="spellEnd"/>
      <w:r w:rsidRPr="007E274C">
        <w:rPr>
          <w:sz w:val="20"/>
          <w:szCs w:val="20"/>
        </w:rPr>
        <w:t xml:space="preserve"> the </w:t>
      </w:r>
      <w:proofErr w:type="spellStart"/>
      <w:r w:rsidRPr="007E274C">
        <w:rPr>
          <w:sz w:val="20"/>
          <w:szCs w:val="20"/>
        </w:rPr>
        <w:t>Act</w:t>
      </w:r>
      <w:proofErr w:type="spellEnd"/>
      <w:r w:rsidRPr="007E274C">
        <w:rPr>
          <w:sz w:val="20"/>
          <w:szCs w:val="20"/>
        </w:rPr>
        <w:t xml:space="preserve"> on the Central </w:t>
      </w:r>
      <w:proofErr w:type="spellStart"/>
      <w:r w:rsidRPr="007E274C">
        <w:rPr>
          <w:sz w:val="20"/>
          <w:szCs w:val="20"/>
        </w:rPr>
        <w:t>Anti-Corruption</w:t>
      </w:r>
      <w:proofErr w:type="spellEnd"/>
      <w:r w:rsidRPr="007E274C">
        <w:rPr>
          <w:sz w:val="20"/>
          <w:szCs w:val="20"/>
        </w:rPr>
        <w:t xml:space="preserve"> </w:t>
      </w:r>
      <w:proofErr w:type="spellStart"/>
      <w:r w:rsidRPr="007E274C">
        <w:rPr>
          <w:sz w:val="20"/>
          <w:szCs w:val="20"/>
        </w:rPr>
        <w:t>Bureau</w:t>
      </w:r>
      <w:proofErr w:type="spellEnd"/>
      <w:r w:rsidRPr="007E274C">
        <w:rPr>
          <w:sz w:val="20"/>
          <w:szCs w:val="20"/>
        </w:rPr>
        <w:t xml:space="preserve">) </w:t>
      </w:r>
      <w:proofErr w:type="spellStart"/>
      <w:r w:rsidRPr="007E274C">
        <w:rPr>
          <w:sz w:val="20"/>
          <w:szCs w:val="20"/>
        </w:rPr>
        <w:t>does</w:t>
      </w:r>
      <w:proofErr w:type="spellEnd"/>
      <w:r w:rsidRPr="007E274C">
        <w:rPr>
          <w:sz w:val="20"/>
          <w:szCs w:val="20"/>
        </w:rPr>
        <w:t xml:space="preserve"> not </w:t>
      </w:r>
      <w:proofErr w:type="spellStart"/>
      <w:r w:rsidRPr="007E274C">
        <w:rPr>
          <w:sz w:val="20"/>
          <w:szCs w:val="20"/>
        </w:rPr>
        <w:t>impose</w:t>
      </w:r>
      <w:proofErr w:type="spellEnd"/>
      <w:r w:rsidRPr="007E274C">
        <w:rPr>
          <w:sz w:val="20"/>
          <w:szCs w:val="20"/>
        </w:rPr>
        <w:t xml:space="preserve"> </w:t>
      </w:r>
      <w:proofErr w:type="spellStart"/>
      <w:r w:rsidRPr="007E274C">
        <w:rPr>
          <w:sz w:val="20"/>
          <w:szCs w:val="20"/>
        </w:rPr>
        <w:t>any</w:t>
      </w:r>
      <w:proofErr w:type="spellEnd"/>
      <w:r w:rsidRPr="007E274C">
        <w:rPr>
          <w:sz w:val="20"/>
          <w:szCs w:val="20"/>
        </w:rPr>
        <w:t xml:space="preserve"> </w:t>
      </w:r>
      <w:proofErr w:type="spellStart"/>
      <w:r w:rsidRPr="007E274C">
        <w:rPr>
          <w:sz w:val="20"/>
          <w:szCs w:val="20"/>
        </w:rPr>
        <w:t>limitations</w:t>
      </w:r>
      <w:proofErr w:type="spellEnd"/>
      <w:r w:rsidRPr="007E274C">
        <w:rPr>
          <w:sz w:val="20"/>
          <w:szCs w:val="20"/>
        </w:rPr>
        <w:t xml:space="preserve"> </w:t>
      </w:r>
      <w:proofErr w:type="spellStart"/>
      <w:r w:rsidRPr="007E274C">
        <w:rPr>
          <w:sz w:val="20"/>
          <w:szCs w:val="20"/>
        </w:rPr>
        <w:t>regarding</w:t>
      </w:r>
      <w:proofErr w:type="spellEnd"/>
      <w:r w:rsidRPr="007E274C">
        <w:rPr>
          <w:sz w:val="20"/>
          <w:szCs w:val="20"/>
        </w:rPr>
        <w:t xml:space="preserve"> the </w:t>
      </w:r>
      <w:proofErr w:type="spellStart"/>
      <w:r w:rsidRPr="007E274C">
        <w:rPr>
          <w:sz w:val="20"/>
          <w:szCs w:val="20"/>
        </w:rPr>
        <w:t>types</w:t>
      </w:r>
      <w:proofErr w:type="spellEnd"/>
      <w:r w:rsidRPr="007E274C">
        <w:rPr>
          <w:sz w:val="20"/>
          <w:szCs w:val="20"/>
        </w:rPr>
        <w:t xml:space="preserve"> of </w:t>
      </w:r>
      <w:proofErr w:type="spellStart"/>
      <w:r w:rsidRPr="007E274C">
        <w:rPr>
          <w:sz w:val="20"/>
          <w:szCs w:val="20"/>
        </w:rPr>
        <w:t>technical</w:t>
      </w:r>
      <w:proofErr w:type="spellEnd"/>
      <w:r w:rsidRPr="007E274C">
        <w:rPr>
          <w:sz w:val="20"/>
          <w:szCs w:val="20"/>
        </w:rPr>
        <w:t xml:space="preserve"> </w:t>
      </w:r>
      <w:proofErr w:type="spellStart"/>
      <w:r w:rsidRPr="007E274C">
        <w:rPr>
          <w:sz w:val="20"/>
          <w:szCs w:val="20"/>
        </w:rPr>
        <w:t>measures</w:t>
      </w:r>
      <w:proofErr w:type="spellEnd"/>
      <w:r w:rsidRPr="007E274C">
        <w:rPr>
          <w:sz w:val="20"/>
          <w:szCs w:val="20"/>
        </w:rPr>
        <w:t xml:space="preserve"> </w:t>
      </w:r>
      <w:proofErr w:type="spellStart"/>
      <w:r w:rsidRPr="007E274C">
        <w:rPr>
          <w:sz w:val="20"/>
          <w:szCs w:val="20"/>
        </w:rPr>
        <w:t>used</w:t>
      </w:r>
      <w:proofErr w:type="spellEnd"/>
      <w:r w:rsidRPr="007E274C">
        <w:rPr>
          <w:sz w:val="20"/>
          <w:szCs w:val="20"/>
        </w:rPr>
        <w:t xml:space="preserve">. He </w:t>
      </w:r>
      <w:proofErr w:type="spellStart"/>
      <w:r w:rsidRPr="007E274C">
        <w:rPr>
          <w:sz w:val="20"/>
          <w:szCs w:val="20"/>
        </w:rPr>
        <w:t>concurs</w:t>
      </w:r>
      <w:proofErr w:type="spellEnd"/>
      <w:r w:rsidRPr="007E274C">
        <w:rPr>
          <w:sz w:val="20"/>
          <w:szCs w:val="20"/>
        </w:rPr>
        <w:t xml:space="preserve"> with the </w:t>
      </w:r>
      <w:proofErr w:type="spellStart"/>
      <w:r w:rsidRPr="007E274C">
        <w:rPr>
          <w:sz w:val="20"/>
          <w:szCs w:val="20"/>
        </w:rPr>
        <w:t>position</w:t>
      </w:r>
      <w:proofErr w:type="spellEnd"/>
      <w:r w:rsidRPr="007E274C">
        <w:rPr>
          <w:sz w:val="20"/>
          <w:szCs w:val="20"/>
        </w:rPr>
        <w:t xml:space="preserve"> of the </w:t>
      </w:r>
      <w:proofErr w:type="spellStart"/>
      <w:r w:rsidRPr="007E274C">
        <w:rPr>
          <w:sz w:val="20"/>
          <w:szCs w:val="20"/>
        </w:rPr>
        <w:t>Constitutional</w:t>
      </w:r>
      <w:proofErr w:type="spellEnd"/>
      <w:r w:rsidRPr="007E274C">
        <w:rPr>
          <w:sz w:val="20"/>
          <w:szCs w:val="20"/>
        </w:rPr>
        <w:t xml:space="preserve"> </w:t>
      </w:r>
      <w:proofErr w:type="spellStart"/>
      <w:r w:rsidRPr="007E274C">
        <w:rPr>
          <w:sz w:val="20"/>
          <w:szCs w:val="20"/>
        </w:rPr>
        <w:t>Tribunal</w:t>
      </w:r>
      <w:proofErr w:type="spellEnd"/>
      <w:r w:rsidRPr="007E274C">
        <w:rPr>
          <w:sz w:val="20"/>
          <w:szCs w:val="20"/>
        </w:rPr>
        <w:t xml:space="preserve"> </w:t>
      </w:r>
      <w:proofErr w:type="spellStart"/>
      <w:r w:rsidRPr="007E274C">
        <w:rPr>
          <w:sz w:val="20"/>
          <w:szCs w:val="20"/>
        </w:rPr>
        <w:t>that</w:t>
      </w:r>
      <w:proofErr w:type="spellEnd"/>
      <w:r w:rsidRPr="007E274C">
        <w:rPr>
          <w:sz w:val="20"/>
          <w:szCs w:val="20"/>
        </w:rPr>
        <w:t xml:space="preserve"> the </w:t>
      </w:r>
      <w:proofErr w:type="spellStart"/>
      <w:r w:rsidRPr="007E274C">
        <w:rPr>
          <w:sz w:val="20"/>
          <w:szCs w:val="20"/>
        </w:rPr>
        <w:t>technical</w:t>
      </w:r>
      <w:proofErr w:type="spellEnd"/>
      <w:r w:rsidRPr="007E274C">
        <w:rPr>
          <w:sz w:val="20"/>
          <w:szCs w:val="20"/>
        </w:rPr>
        <w:t xml:space="preserve"> </w:t>
      </w:r>
      <w:proofErr w:type="spellStart"/>
      <w:r w:rsidRPr="007E274C">
        <w:rPr>
          <w:sz w:val="20"/>
          <w:szCs w:val="20"/>
        </w:rPr>
        <w:t>measures</w:t>
      </w:r>
      <w:proofErr w:type="spellEnd"/>
      <w:r w:rsidRPr="007E274C">
        <w:rPr>
          <w:sz w:val="20"/>
          <w:szCs w:val="20"/>
        </w:rPr>
        <w:t xml:space="preserve"> </w:t>
      </w:r>
      <w:proofErr w:type="spellStart"/>
      <w:r w:rsidRPr="007E274C">
        <w:rPr>
          <w:sz w:val="20"/>
          <w:szCs w:val="20"/>
        </w:rPr>
        <w:t>employed</w:t>
      </w:r>
      <w:proofErr w:type="spellEnd"/>
      <w:r w:rsidRPr="007E274C">
        <w:rPr>
          <w:sz w:val="20"/>
          <w:szCs w:val="20"/>
        </w:rPr>
        <w:t xml:space="preserve"> in </w:t>
      </w:r>
      <w:proofErr w:type="spellStart"/>
      <w:r w:rsidRPr="007E274C">
        <w:rPr>
          <w:sz w:val="20"/>
          <w:szCs w:val="20"/>
        </w:rPr>
        <w:t>operational</w:t>
      </w:r>
      <w:proofErr w:type="spellEnd"/>
      <w:r w:rsidRPr="007E274C">
        <w:rPr>
          <w:sz w:val="20"/>
          <w:szCs w:val="20"/>
        </w:rPr>
        <w:t xml:space="preserve"> </w:t>
      </w:r>
      <w:proofErr w:type="spellStart"/>
      <w:r w:rsidRPr="007E274C">
        <w:rPr>
          <w:sz w:val="20"/>
          <w:szCs w:val="20"/>
        </w:rPr>
        <w:t>surveillance</w:t>
      </w:r>
      <w:proofErr w:type="spellEnd"/>
      <w:r w:rsidRPr="007E274C">
        <w:rPr>
          <w:sz w:val="20"/>
          <w:szCs w:val="20"/>
        </w:rPr>
        <w:t xml:space="preserve"> </w:t>
      </w:r>
      <w:proofErr w:type="spellStart"/>
      <w:r w:rsidRPr="007E274C">
        <w:rPr>
          <w:sz w:val="20"/>
          <w:szCs w:val="20"/>
        </w:rPr>
        <w:t>must</w:t>
      </w:r>
      <w:proofErr w:type="spellEnd"/>
      <w:r w:rsidRPr="007E274C">
        <w:rPr>
          <w:sz w:val="20"/>
          <w:szCs w:val="20"/>
        </w:rPr>
        <w:t xml:space="preserve"> be </w:t>
      </w:r>
      <w:proofErr w:type="spellStart"/>
      <w:r w:rsidRPr="007E274C">
        <w:rPr>
          <w:sz w:val="20"/>
          <w:szCs w:val="20"/>
        </w:rPr>
        <w:t>based</w:t>
      </w:r>
      <w:proofErr w:type="spellEnd"/>
      <w:r w:rsidRPr="007E274C">
        <w:rPr>
          <w:sz w:val="20"/>
          <w:szCs w:val="20"/>
        </w:rPr>
        <w:t xml:space="preserve"> on the </w:t>
      </w:r>
      <w:proofErr w:type="spellStart"/>
      <w:r w:rsidRPr="007E274C">
        <w:rPr>
          <w:sz w:val="20"/>
          <w:szCs w:val="20"/>
        </w:rPr>
        <w:t>latest</w:t>
      </w:r>
      <w:proofErr w:type="spellEnd"/>
      <w:r w:rsidRPr="007E274C">
        <w:rPr>
          <w:sz w:val="20"/>
          <w:szCs w:val="20"/>
        </w:rPr>
        <w:t xml:space="preserve"> </w:t>
      </w:r>
      <w:proofErr w:type="spellStart"/>
      <w:r w:rsidRPr="007E274C">
        <w:rPr>
          <w:sz w:val="20"/>
          <w:szCs w:val="20"/>
        </w:rPr>
        <w:t>technologies</w:t>
      </w:r>
      <w:proofErr w:type="spellEnd"/>
      <w:r w:rsidRPr="007E274C">
        <w:rPr>
          <w:sz w:val="20"/>
          <w:szCs w:val="20"/>
        </w:rPr>
        <w:t xml:space="preserve"> </w:t>
      </w:r>
      <w:proofErr w:type="spellStart"/>
      <w:r w:rsidRPr="007E274C">
        <w:rPr>
          <w:sz w:val="20"/>
          <w:szCs w:val="20"/>
        </w:rPr>
        <w:t>enabling</w:t>
      </w:r>
      <w:proofErr w:type="spellEnd"/>
      <w:r w:rsidRPr="007E274C">
        <w:rPr>
          <w:sz w:val="20"/>
          <w:szCs w:val="20"/>
        </w:rPr>
        <w:t xml:space="preserve"> the </w:t>
      </w:r>
      <w:proofErr w:type="spellStart"/>
      <w:r w:rsidRPr="007E274C">
        <w:rPr>
          <w:sz w:val="20"/>
          <w:szCs w:val="20"/>
        </w:rPr>
        <w:t>acquisition</w:t>
      </w:r>
      <w:proofErr w:type="spellEnd"/>
      <w:r w:rsidRPr="007E274C">
        <w:rPr>
          <w:sz w:val="20"/>
          <w:szCs w:val="20"/>
        </w:rPr>
        <w:t xml:space="preserve"> and </w:t>
      </w:r>
      <w:proofErr w:type="spellStart"/>
      <w:r w:rsidRPr="007E274C">
        <w:rPr>
          <w:sz w:val="20"/>
          <w:szCs w:val="20"/>
        </w:rPr>
        <w:t>recording</w:t>
      </w:r>
      <w:proofErr w:type="spellEnd"/>
      <w:r w:rsidRPr="007E274C">
        <w:rPr>
          <w:sz w:val="20"/>
          <w:szCs w:val="20"/>
        </w:rPr>
        <w:t xml:space="preserve"> of </w:t>
      </w:r>
      <w:proofErr w:type="spellStart"/>
      <w:r w:rsidRPr="007E274C">
        <w:rPr>
          <w:sz w:val="20"/>
          <w:szCs w:val="20"/>
        </w:rPr>
        <w:t>information</w:t>
      </w:r>
      <w:proofErr w:type="spellEnd"/>
      <w:r w:rsidRPr="007E274C">
        <w:rPr>
          <w:sz w:val="20"/>
          <w:szCs w:val="20"/>
        </w:rPr>
        <w:t>.</w:t>
      </w:r>
    </w:p>
    <w:p w14:paraId="50639FA1" w14:textId="77777777" w:rsidR="00E062B8" w:rsidRPr="007E274C" w:rsidRDefault="00E062B8" w:rsidP="007E274C">
      <w:pPr>
        <w:spacing w:line="360" w:lineRule="auto"/>
        <w:jc w:val="both"/>
        <w:rPr>
          <w:sz w:val="20"/>
          <w:szCs w:val="20"/>
        </w:rPr>
      </w:pPr>
    </w:p>
    <w:p w14:paraId="440D8559" w14:textId="661C4672" w:rsidR="00E062B8" w:rsidRPr="007E274C" w:rsidRDefault="00E062B8" w:rsidP="007E274C">
      <w:pPr>
        <w:spacing w:line="360" w:lineRule="auto"/>
        <w:jc w:val="both"/>
        <w:rPr>
          <w:sz w:val="20"/>
          <w:szCs w:val="20"/>
        </w:rPr>
      </w:pPr>
      <w:r w:rsidRPr="007E274C">
        <w:rPr>
          <w:sz w:val="20"/>
          <w:szCs w:val="20"/>
        </w:rPr>
        <w:t>Słowa kluczowe w języku angielskim:</w:t>
      </w:r>
      <w:r w:rsidR="007E274C">
        <w:rPr>
          <w:sz w:val="20"/>
          <w:szCs w:val="20"/>
        </w:rPr>
        <w:t xml:space="preserve"> </w:t>
      </w:r>
      <w:proofErr w:type="spellStart"/>
      <w:r w:rsidRPr="007E274C">
        <w:rPr>
          <w:sz w:val="20"/>
          <w:szCs w:val="20"/>
        </w:rPr>
        <w:t>operational</w:t>
      </w:r>
      <w:proofErr w:type="spellEnd"/>
      <w:r w:rsidRPr="007E274C">
        <w:rPr>
          <w:sz w:val="20"/>
          <w:szCs w:val="20"/>
        </w:rPr>
        <w:t xml:space="preserve"> </w:t>
      </w:r>
      <w:proofErr w:type="spellStart"/>
      <w:r w:rsidRPr="007E274C">
        <w:rPr>
          <w:sz w:val="20"/>
          <w:szCs w:val="20"/>
        </w:rPr>
        <w:t>surveillance</w:t>
      </w:r>
      <w:proofErr w:type="spellEnd"/>
      <w:r w:rsidRPr="007E274C">
        <w:rPr>
          <w:sz w:val="20"/>
          <w:szCs w:val="20"/>
        </w:rPr>
        <w:t xml:space="preserve">; </w:t>
      </w:r>
      <w:proofErr w:type="spellStart"/>
      <w:r w:rsidRPr="007E274C">
        <w:rPr>
          <w:sz w:val="20"/>
          <w:szCs w:val="20"/>
        </w:rPr>
        <w:t>Pegasus</w:t>
      </w:r>
      <w:proofErr w:type="spellEnd"/>
      <w:r w:rsidRPr="007E274C">
        <w:rPr>
          <w:sz w:val="20"/>
          <w:szCs w:val="20"/>
        </w:rPr>
        <w:t xml:space="preserve">; </w:t>
      </w:r>
      <w:proofErr w:type="spellStart"/>
      <w:r w:rsidRPr="007E274C">
        <w:rPr>
          <w:sz w:val="20"/>
          <w:szCs w:val="20"/>
        </w:rPr>
        <w:t>technical</w:t>
      </w:r>
      <w:proofErr w:type="spellEnd"/>
      <w:r w:rsidRPr="007E274C">
        <w:rPr>
          <w:sz w:val="20"/>
          <w:szCs w:val="20"/>
        </w:rPr>
        <w:t xml:space="preserve"> </w:t>
      </w:r>
      <w:proofErr w:type="spellStart"/>
      <w:r w:rsidRPr="007E274C">
        <w:rPr>
          <w:sz w:val="20"/>
          <w:szCs w:val="20"/>
        </w:rPr>
        <w:t>means</w:t>
      </w:r>
      <w:proofErr w:type="spellEnd"/>
      <w:r w:rsidRPr="007E274C">
        <w:rPr>
          <w:sz w:val="20"/>
          <w:szCs w:val="20"/>
        </w:rPr>
        <w:t xml:space="preserve">; </w:t>
      </w:r>
      <w:proofErr w:type="spellStart"/>
      <w:r w:rsidRPr="007E274C">
        <w:rPr>
          <w:sz w:val="20"/>
          <w:szCs w:val="20"/>
        </w:rPr>
        <w:t>operational</w:t>
      </w:r>
      <w:proofErr w:type="spellEnd"/>
      <w:r w:rsidRPr="007E274C">
        <w:rPr>
          <w:sz w:val="20"/>
          <w:szCs w:val="20"/>
        </w:rPr>
        <w:t xml:space="preserve"> </w:t>
      </w:r>
      <w:proofErr w:type="spellStart"/>
      <w:r w:rsidRPr="007E274C">
        <w:rPr>
          <w:sz w:val="20"/>
          <w:szCs w:val="20"/>
        </w:rPr>
        <w:t>activities</w:t>
      </w:r>
      <w:proofErr w:type="spellEnd"/>
    </w:p>
    <w:p w14:paraId="2CA0488D" w14:textId="65C77920" w:rsidR="007E274C" w:rsidRDefault="007E274C" w:rsidP="007E274C">
      <w:pPr>
        <w:spacing w:line="360" w:lineRule="auto"/>
        <w:jc w:val="both"/>
        <w:rPr>
          <w:sz w:val="20"/>
          <w:szCs w:val="20"/>
        </w:rPr>
      </w:pPr>
    </w:p>
    <w:p w14:paraId="307EA82D" w14:textId="26B9F7F6" w:rsidR="007E274C" w:rsidRDefault="007E274C" w:rsidP="007E274C">
      <w:pPr>
        <w:spacing w:line="360" w:lineRule="auto"/>
        <w:jc w:val="both"/>
        <w:rPr>
          <w:sz w:val="20"/>
          <w:szCs w:val="20"/>
        </w:rPr>
      </w:pPr>
      <w:r>
        <w:rPr>
          <w:sz w:val="20"/>
          <w:szCs w:val="20"/>
        </w:rPr>
        <w:t>Abstrakt w języku polskim:</w:t>
      </w:r>
    </w:p>
    <w:p w14:paraId="476A5608" w14:textId="77777777" w:rsidR="007E274C" w:rsidRPr="007E274C" w:rsidRDefault="007E274C" w:rsidP="007E274C">
      <w:pPr>
        <w:spacing w:line="360" w:lineRule="auto"/>
        <w:jc w:val="both"/>
        <w:rPr>
          <w:sz w:val="20"/>
          <w:szCs w:val="20"/>
        </w:rPr>
      </w:pPr>
    </w:p>
    <w:p w14:paraId="2EA00F62" w14:textId="55735D8D" w:rsidR="007E274C" w:rsidRDefault="007E274C" w:rsidP="007E274C">
      <w:pPr>
        <w:spacing w:line="360" w:lineRule="auto"/>
        <w:jc w:val="both"/>
        <w:rPr>
          <w:sz w:val="20"/>
          <w:szCs w:val="20"/>
        </w:rPr>
      </w:pPr>
      <w:r w:rsidRPr="007E274C">
        <w:rPr>
          <w:sz w:val="20"/>
          <w:szCs w:val="20"/>
        </w:rPr>
        <w:t xml:space="preserve">Autor krytycznie ocenia stanowisko Sądu Apelacyjnego we Wrocławiu z dnia 11 maja 2023 r. sygn. akt: II </w:t>
      </w:r>
      <w:proofErr w:type="spellStart"/>
      <w:r w:rsidRPr="007E274C">
        <w:rPr>
          <w:sz w:val="20"/>
          <w:szCs w:val="20"/>
        </w:rPr>
        <w:t>AKa</w:t>
      </w:r>
      <w:proofErr w:type="spellEnd"/>
      <w:r w:rsidRPr="007E274C">
        <w:rPr>
          <w:sz w:val="20"/>
          <w:szCs w:val="20"/>
        </w:rPr>
        <w:t xml:space="preserve"> 480/21, w którym Sąd uznaje za nielegalne stosowanie w ramach kontroli operacyjnej środków techniki o cechach programu </w:t>
      </w:r>
      <w:proofErr w:type="spellStart"/>
      <w:r w:rsidRPr="007E274C">
        <w:rPr>
          <w:sz w:val="20"/>
          <w:szCs w:val="20"/>
        </w:rPr>
        <w:t>Pegasus</w:t>
      </w:r>
      <w:proofErr w:type="spellEnd"/>
      <w:r w:rsidRPr="007E274C">
        <w:rPr>
          <w:sz w:val="20"/>
          <w:szCs w:val="20"/>
        </w:rPr>
        <w:t>. Autor stoi na stanowisku, że ustawodawstwo policyjne (w tym ustawa o CBA) nie wprowadza żadnych ograniczeń w zakresie środków techniki. Autor zgadza się z prezentowanym przez Trybunał Konstytucyjny stanowiskiem, że środki techniki stosowane w ramach kontroli operacyjnej muszą być oparte na najnowszych technologiach pozwalających na pozyskiwanie i utrwalanie informacji. </w:t>
      </w:r>
    </w:p>
    <w:p w14:paraId="45D8D299" w14:textId="2A141266" w:rsidR="007E274C" w:rsidRDefault="007E274C" w:rsidP="007E274C">
      <w:pPr>
        <w:spacing w:line="360" w:lineRule="auto"/>
        <w:jc w:val="both"/>
        <w:rPr>
          <w:sz w:val="20"/>
          <w:szCs w:val="20"/>
        </w:rPr>
      </w:pPr>
    </w:p>
    <w:p w14:paraId="5F128C39" w14:textId="593A69D9" w:rsidR="007E274C" w:rsidRPr="007E274C" w:rsidRDefault="007E274C" w:rsidP="007E274C">
      <w:pPr>
        <w:spacing w:line="360" w:lineRule="auto"/>
        <w:jc w:val="both"/>
        <w:rPr>
          <w:sz w:val="20"/>
          <w:szCs w:val="20"/>
        </w:rPr>
      </w:pPr>
      <w:r>
        <w:rPr>
          <w:sz w:val="20"/>
          <w:szCs w:val="20"/>
        </w:rPr>
        <w:t>Słowa kluczowe w języku polskim:</w:t>
      </w:r>
    </w:p>
    <w:p w14:paraId="14995D4E" w14:textId="2F20E372" w:rsidR="007E274C" w:rsidRPr="007E274C" w:rsidRDefault="007E274C" w:rsidP="007E274C">
      <w:pPr>
        <w:spacing w:line="360" w:lineRule="auto"/>
        <w:jc w:val="both"/>
        <w:rPr>
          <w:sz w:val="20"/>
          <w:szCs w:val="20"/>
        </w:rPr>
      </w:pPr>
      <w:r w:rsidRPr="007E274C">
        <w:rPr>
          <w:color w:val="111111"/>
          <w:sz w:val="20"/>
          <w:szCs w:val="20"/>
          <w:shd w:val="clear" w:color="auto" w:fill="FFFFFF"/>
        </w:rPr>
        <w:t xml:space="preserve">kontrola operacyjna; </w:t>
      </w:r>
      <w:proofErr w:type="spellStart"/>
      <w:r w:rsidRPr="007E274C">
        <w:rPr>
          <w:color w:val="111111"/>
          <w:sz w:val="20"/>
          <w:szCs w:val="20"/>
          <w:shd w:val="clear" w:color="auto" w:fill="FFFFFF"/>
        </w:rPr>
        <w:t>Pegasus</w:t>
      </w:r>
      <w:proofErr w:type="spellEnd"/>
      <w:r w:rsidRPr="007E274C">
        <w:rPr>
          <w:color w:val="111111"/>
          <w:sz w:val="20"/>
          <w:szCs w:val="20"/>
          <w:shd w:val="clear" w:color="auto" w:fill="FFFFFF"/>
        </w:rPr>
        <w:t>; środki techniki; czynności operacyjne</w:t>
      </w:r>
    </w:p>
    <w:p w14:paraId="55C170C3" w14:textId="77777777" w:rsidR="00E062B8" w:rsidRPr="007E274C" w:rsidRDefault="00E062B8" w:rsidP="007E274C">
      <w:pPr>
        <w:spacing w:line="360" w:lineRule="auto"/>
        <w:jc w:val="both"/>
        <w:rPr>
          <w:sz w:val="20"/>
          <w:szCs w:val="20"/>
        </w:rPr>
      </w:pPr>
    </w:p>
    <w:p w14:paraId="790FC2FA" w14:textId="77777777" w:rsidR="00E062B8" w:rsidRPr="007E274C" w:rsidRDefault="00E062B8" w:rsidP="007E274C">
      <w:pPr>
        <w:spacing w:line="360" w:lineRule="auto"/>
        <w:ind w:firstLine="708"/>
        <w:jc w:val="both"/>
        <w:rPr>
          <w:sz w:val="20"/>
          <w:szCs w:val="20"/>
        </w:rPr>
      </w:pPr>
    </w:p>
    <w:p w14:paraId="035D30A7" w14:textId="77777777" w:rsidR="00E062B8" w:rsidRPr="007E274C" w:rsidRDefault="00E062B8" w:rsidP="007E274C">
      <w:pPr>
        <w:autoSpaceDE w:val="0"/>
        <w:autoSpaceDN w:val="0"/>
        <w:adjustRightInd w:val="0"/>
        <w:spacing w:line="360" w:lineRule="auto"/>
        <w:ind w:firstLine="708"/>
        <w:jc w:val="both"/>
        <w:rPr>
          <w:rFonts w:eastAsiaTheme="minorHAnsi"/>
          <w:b/>
          <w:sz w:val="20"/>
          <w:szCs w:val="20"/>
          <w:lang w:eastAsia="en-US"/>
        </w:rPr>
      </w:pPr>
    </w:p>
    <w:p w14:paraId="07594712" w14:textId="77777777" w:rsidR="00E062B8" w:rsidRPr="005F5E2F" w:rsidRDefault="00E062B8" w:rsidP="005F5E2F">
      <w:pPr>
        <w:autoSpaceDE w:val="0"/>
        <w:autoSpaceDN w:val="0"/>
        <w:adjustRightInd w:val="0"/>
        <w:spacing w:line="360" w:lineRule="auto"/>
        <w:ind w:firstLine="708"/>
        <w:jc w:val="both"/>
        <w:rPr>
          <w:rFonts w:eastAsiaTheme="minorHAnsi"/>
          <w:lang w:eastAsia="en-US"/>
        </w:rPr>
      </w:pPr>
    </w:p>
    <w:p w14:paraId="6D75C750" w14:textId="77777777" w:rsidR="00C42AEE" w:rsidRPr="005F5E2F" w:rsidRDefault="00C42AEE" w:rsidP="00DF2BCE">
      <w:pPr>
        <w:autoSpaceDE w:val="0"/>
        <w:autoSpaceDN w:val="0"/>
        <w:adjustRightInd w:val="0"/>
        <w:spacing w:line="360" w:lineRule="auto"/>
        <w:jc w:val="center"/>
        <w:rPr>
          <w:rFonts w:eastAsiaTheme="minorHAnsi"/>
          <w:lang w:eastAsia="en-US"/>
        </w:rPr>
      </w:pPr>
      <w:r w:rsidRPr="005F5E2F">
        <w:rPr>
          <w:rFonts w:eastAsiaTheme="minorHAnsi"/>
          <w:lang w:eastAsia="en-US"/>
        </w:rPr>
        <w:t xml:space="preserve">Teza: posłużenie się oprogramowaniem szpiegowskim </w:t>
      </w:r>
      <w:r w:rsidR="00E45B45">
        <w:rPr>
          <w:rFonts w:eastAsiaTheme="minorHAnsi"/>
          <w:lang w:eastAsia="en-US"/>
        </w:rPr>
        <w:t xml:space="preserve">w ramach kontroli operacyjnej </w:t>
      </w:r>
      <w:r w:rsidRPr="005F5E2F">
        <w:rPr>
          <w:rFonts w:eastAsiaTheme="minorHAnsi"/>
          <w:lang w:eastAsia="en-US"/>
        </w:rPr>
        <w:t>nie może być uznane za zgodny z ustawą, legalny sposób  pozyskania</w:t>
      </w:r>
      <w:r w:rsidR="00E45B45">
        <w:rPr>
          <w:rFonts w:eastAsiaTheme="minorHAnsi"/>
          <w:lang w:eastAsia="en-US"/>
        </w:rPr>
        <w:t xml:space="preserve"> informacji</w:t>
      </w:r>
      <w:r w:rsidRPr="005F5E2F">
        <w:rPr>
          <w:rFonts w:eastAsiaTheme="minorHAnsi"/>
          <w:lang w:eastAsia="en-US"/>
        </w:rPr>
        <w:t>.</w:t>
      </w:r>
    </w:p>
    <w:p w14:paraId="5A6C3887" w14:textId="77777777" w:rsidR="00343F12" w:rsidRPr="005F5E2F" w:rsidRDefault="00343F12" w:rsidP="005F5E2F">
      <w:pPr>
        <w:autoSpaceDE w:val="0"/>
        <w:autoSpaceDN w:val="0"/>
        <w:adjustRightInd w:val="0"/>
        <w:spacing w:line="360" w:lineRule="auto"/>
        <w:jc w:val="both"/>
        <w:rPr>
          <w:rFonts w:eastAsiaTheme="minorHAnsi"/>
          <w:lang w:eastAsia="en-US"/>
        </w:rPr>
      </w:pPr>
    </w:p>
    <w:p w14:paraId="04C1859D" w14:textId="77777777" w:rsidR="00285EF5" w:rsidRPr="005F5E2F" w:rsidRDefault="00285EF5" w:rsidP="005F5E2F">
      <w:pPr>
        <w:spacing w:line="360" w:lineRule="auto"/>
        <w:ind w:firstLine="708"/>
        <w:jc w:val="both"/>
        <w:rPr>
          <w:rFonts w:eastAsia="Calibri"/>
          <w:bCs/>
          <w:iCs/>
        </w:rPr>
      </w:pPr>
      <w:r w:rsidRPr="005F5E2F">
        <w:t xml:space="preserve">Stan faktyczny przedstawiał się następująco: </w:t>
      </w:r>
      <w:r w:rsidR="000A34FB">
        <w:t>„</w:t>
      </w:r>
      <w:r w:rsidRPr="005F5E2F">
        <w:rPr>
          <w:rFonts w:eastAsia="Calibri"/>
          <w:bCs/>
          <w:iCs/>
        </w:rPr>
        <w:t xml:space="preserve">R. J. został oskarżony o to, że: </w:t>
      </w:r>
      <w:r w:rsidRPr="005F5E2F">
        <w:rPr>
          <w:rFonts w:eastAsia="Calibri"/>
          <w:iCs/>
        </w:rPr>
        <w:t xml:space="preserve">w okresie od 16 listopada 2018 roku do 29 marca 2019 roku w T. W. i innych miejscach na terenie Polski, działając w krótkich odstępach czasu w wykonaniu z góry powziętego zamiaru, wiedząc, że K. T. jest funkcjonariuszem Agencji Bezpieczeństwa Wewnętrznego, chcąc aby przekroczyła ona, w celu osiągnięcia korzyści majątkowej, swoje uprawnienia funkcjonariusza publicznego poprzez ujawnienie mu informacji niejawnych, swoim zachowaniem nakłaniał ją, między innymi za pośrednictwem komunikatora internetowego (...) i (...) do ujawnienia informacji niejawnych o klauzuli „tajne” dotyczących prowadzonych lub planowanych przez ABW czynności operacyjnych, w tym dotyczących obserwacji na podstawie art. 23 ust. 1 pkt 6 ustawy o ABW, wobec jego osoby, a nadto M. M. i M. S., a następnie ww. informacje niejawne wykorzystywał wbrew przepisom ustawy, m.in. poprzez przekazywanie ich dalej M. M. za pośrednictwem komunikatora (...), a nadto do modyfikacji własnych działań </w:t>
      </w:r>
      <w:r w:rsidRPr="005F5E2F">
        <w:rPr>
          <w:rFonts w:eastAsia="Calibri"/>
          <w:bCs/>
          <w:iCs/>
        </w:rPr>
        <w:t>to jest o czyn z art. 18 § 2 k.k. w zw. z art. 231 § 1 i 2 k.k. w zw. z art. 265 § 1 k.k. w zw. z art. 11 § 2 k.k. w zw. z art. 12 § 1 k.k. w zw. z art.21 § 2 k.k.</w:t>
      </w:r>
      <w:r w:rsidR="000A34FB">
        <w:rPr>
          <w:rFonts w:eastAsia="Calibri"/>
          <w:bCs/>
          <w:iCs/>
        </w:rPr>
        <w:t>”</w:t>
      </w:r>
    </w:p>
    <w:p w14:paraId="0F2F8119" w14:textId="77777777" w:rsidR="00285EF5" w:rsidRPr="005F5E2F" w:rsidRDefault="00285EF5" w:rsidP="005F5E2F">
      <w:pPr>
        <w:autoSpaceDE w:val="0"/>
        <w:autoSpaceDN w:val="0"/>
        <w:adjustRightInd w:val="0"/>
        <w:spacing w:line="360" w:lineRule="auto"/>
        <w:ind w:firstLine="708"/>
        <w:jc w:val="both"/>
        <w:rPr>
          <w:rFonts w:eastAsia="Calibri"/>
          <w:bCs/>
          <w:iCs/>
        </w:rPr>
      </w:pPr>
      <w:r w:rsidRPr="005F5E2F">
        <w:rPr>
          <w:rFonts w:eastAsia="Calibri"/>
          <w:bCs/>
          <w:iCs/>
        </w:rPr>
        <w:t>K. T. została oskarżona o to, że:</w:t>
      </w:r>
      <w:r w:rsidR="000A34FB">
        <w:rPr>
          <w:rFonts w:eastAsia="Calibri"/>
          <w:bCs/>
          <w:iCs/>
        </w:rPr>
        <w:t>”</w:t>
      </w:r>
      <w:r w:rsidRPr="005F5E2F">
        <w:rPr>
          <w:rFonts w:eastAsia="Calibri"/>
          <w:bCs/>
          <w:iCs/>
        </w:rPr>
        <w:t xml:space="preserve"> </w:t>
      </w:r>
      <w:r w:rsidRPr="005F5E2F">
        <w:rPr>
          <w:rFonts w:eastAsia="Calibri"/>
          <w:iCs/>
        </w:rPr>
        <w:t>w okresie od 16 listopada 2018 roku do 29 marca 2019 roku w K. L. i innych miejscach na terenie Polski, działając w krótkich odstępach czasu w wykonaniu z góry powziętego zamiaru, przekroczyła swoje uprawnienia funkcjonariusza Agencji Bezpieczeństwa Wewnętrznego w celu osiągnięcia korzyści majątkowej w postaci obietnicy przyszłego zatrudnienia w prywatnej firmie, w ten sposób, że ujawniła R . J. (1) za pośrednictwem komunikatora internetowego (...) i (...) informacje niejawne o klauzuli „tajne” dotyczące prowadzonych lub planowanych przez ABW czynności operacyjnych, w</w:t>
      </w:r>
      <w:r w:rsidR="00391634" w:rsidRPr="005F5E2F">
        <w:rPr>
          <w:rFonts w:eastAsia="Calibri"/>
          <w:iCs/>
        </w:rPr>
        <w:t xml:space="preserve"> </w:t>
      </w:r>
      <w:r w:rsidRPr="005F5E2F">
        <w:rPr>
          <w:rFonts w:eastAsia="Calibri"/>
          <w:iCs/>
        </w:rPr>
        <w:t xml:space="preserve">tym dotyczących obserwacji na podstawie art. 23 ust. 1 pkt 6 ustawy o ABW, wobec wyżej wymienionego R. J. (1), a nadto M. M. i M. S., czym działała na szkodę interesu publicznego, </w:t>
      </w:r>
      <w:r w:rsidRPr="005F5E2F">
        <w:rPr>
          <w:rFonts w:eastAsia="Calibri"/>
          <w:bCs/>
          <w:iCs/>
        </w:rPr>
        <w:t>to jest o czyn z art. 231 § 1 i 2 k.k. w zw.</w:t>
      </w:r>
      <w:r w:rsidR="00391634" w:rsidRPr="005F5E2F">
        <w:rPr>
          <w:rFonts w:eastAsia="Calibri"/>
          <w:bCs/>
          <w:iCs/>
        </w:rPr>
        <w:t xml:space="preserve"> </w:t>
      </w:r>
      <w:r w:rsidRPr="005F5E2F">
        <w:rPr>
          <w:rFonts w:eastAsia="Calibri"/>
          <w:bCs/>
          <w:iCs/>
        </w:rPr>
        <w:t>z art. 265 § 1 k.k. w zw. Z art.11§ 2 k.k. w zw. z art. 12 § 1 k.k.</w:t>
      </w:r>
      <w:r w:rsidR="000A34FB">
        <w:rPr>
          <w:rFonts w:eastAsia="Calibri"/>
          <w:bCs/>
          <w:iCs/>
        </w:rPr>
        <w:t>”</w:t>
      </w:r>
    </w:p>
    <w:p w14:paraId="2C78643D" w14:textId="77777777" w:rsidR="001F2574" w:rsidRPr="005F5E2F" w:rsidRDefault="001F2574" w:rsidP="005F5E2F">
      <w:pPr>
        <w:autoSpaceDE w:val="0"/>
        <w:autoSpaceDN w:val="0"/>
        <w:adjustRightInd w:val="0"/>
        <w:spacing w:line="360" w:lineRule="auto"/>
        <w:ind w:firstLine="708"/>
        <w:jc w:val="both"/>
        <w:rPr>
          <w:rFonts w:eastAsiaTheme="minorHAnsi"/>
          <w:lang w:eastAsia="en-US"/>
        </w:rPr>
      </w:pPr>
      <w:r w:rsidRPr="005F5E2F">
        <w:rPr>
          <w:rFonts w:eastAsiaTheme="minorHAnsi"/>
          <w:lang w:eastAsia="en-US"/>
        </w:rPr>
        <w:t>Sąd Okręgowy we Wrocławiu wyrokiem z dnia 10 września 2021 roku, sygn. akt III K 63/21:</w:t>
      </w:r>
    </w:p>
    <w:p w14:paraId="21AA4EEE" w14:textId="77777777" w:rsidR="001F2574" w:rsidRPr="005F5E2F" w:rsidRDefault="001F2574" w:rsidP="005F5E2F">
      <w:pPr>
        <w:autoSpaceDE w:val="0"/>
        <w:autoSpaceDN w:val="0"/>
        <w:adjustRightInd w:val="0"/>
        <w:spacing w:line="360" w:lineRule="auto"/>
        <w:jc w:val="both"/>
        <w:rPr>
          <w:rFonts w:eastAsiaTheme="minorHAnsi"/>
          <w:lang w:eastAsia="en-US"/>
        </w:rPr>
      </w:pPr>
      <w:r w:rsidRPr="005F5E2F">
        <w:rPr>
          <w:rFonts w:eastAsiaTheme="minorHAnsi"/>
          <w:lang w:eastAsia="en-US"/>
        </w:rPr>
        <w:t xml:space="preserve">uznał oskarżonego R. J. (1) za winnego popełnienia zarzucanego mu czynu opisanego w pkt I części dyspozytywnej wyroku, to jest za winnego popełnienia przestępstwa z art. 18 § 2 k.k. w zw. z art. 231 § 1 i 2 k.k. w zw. z art. 265 § 1k.k. w zw. z art. 11 § 2 k.k. w zw. z art. 12 § 1 k.k. </w:t>
      </w:r>
      <w:r w:rsidRPr="005F5E2F">
        <w:rPr>
          <w:rFonts w:eastAsiaTheme="minorHAnsi"/>
          <w:lang w:eastAsia="en-US"/>
        </w:rPr>
        <w:lastRenderedPageBreak/>
        <w:t>w zw. z art. 21 § 2 k.k. i za to przestępstwo wymierzył mu na podstawie art. 19 § 1 k.k. w zw. z art. 231 § 2 k.k. w zw. z art. 11 § 3 k.k. w zw. z art. 12 § 1 k.k. w zw. z art. 4 § 1 k.k. karę 1 roku pozbawienia wolności;</w:t>
      </w:r>
    </w:p>
    <w:p w14:paraId="1DA2C0FA" w14:textId="77777777" w:rsidR="001F2574" w:rsidRPr="005F5E2F" w:rsidRDefault="001F2574" w:rsidP="005F5E2F">
      <w:pPr>
        <w:autoSpaceDE w:val="0"/>
        <w:autoSpaceDN w:val="0"/>
        <w:adjustRightInd w:val="0"/>
        <w:spacing w:line="360" w:lineRule="auto"/>
        <w:jc w:val="both"/>
        <w:rPr>
          <w:rFonts w:eastAsiaTheme="minorHAnsi"/>
          <w:lang w:eastAsia="en-US"/>
        </w:rPr>
      </w:pPr>
      <w:r w:rsidRPr="005F5E2F">
        <w:rPr>
          <w:rFonts w:eastAsiaTheme="minorHAnsi"/>
          <w:lang w:eastAsia="en-US"/>
        </w:rPr>
        <w:t>uznał oskarżoną K. T. za winną popełnienia zarzucanego jej czynu opisanego w pkt II części dyspozytywnej wyroku</w:t>
      </w:r>
      <w:r w:rsidR="00A20E13" w:rsidRPr="005F5E2F">
        <w:rPr>
          <w:rFonts w:eastAsiaTheme="minorHAnsi"/>
          <w:lang w:eastAsia="en-US"/>
        </w:rPr>
        <w:t xml:space="preserve"> </w:t>
      </w:r>
      <w:r w:rsidRPr="005F5E2F">
        <w:rPr>
          <w:rFonts w:eastAsiaTheme="minorHAnsi"/>
          <w:lang w:eastAsia="en-US"/>
        </w:rPr>
        <w:t>to jest za winną popełnienia przestępstwa z art. 231 § 1 i 2 k.k. w zw. z art. 265 § 1 k.k. w zw. z art. 11 § 2 k.k. w zw. z art. 12 § 1 k.k. i za to przestępstwo wymierzył jej na podstawie art. 231 § 2 k.k. w zw. z art. 11 § 3 k.k. w zw. z art. 12 § 1 k.k. w zw. z art. 4 § 1 k.k. karę 1 roku pozbawienia wolności</w:t>
      </w:r>
      <w:r w:rsidR="00983CCD" w:rsidRPr="005F5E2F">
        <w:rPr>
          <w:rStyle w:val="Odwoanieprzypisudolnego"/>
          <w:rFonts w:eastAsiaTheme="minorHAnsi"/>
          <w:lang w:eastAsia="en-US"/>
        </w:rPr>
        <w:footnoteReference w:id="1"/>
      </w:r>
      <w:r w:rsidRPr="005F5E2F">
        <w:rPr>
          <w:rFonts w:eastAsiaTheme="minorHAnsi"/>
          <w:lang w:eastAsia="en-US"/>
        </w:rPr>
        <w:t>;</w:t>
      </w:r>
    </w:p>
    <w:p w14:paraId="07D1F95C" w14:textId="77777777" w:rsidR="00A20E13" w:rsidRPr="005F5E2F" w:rsidRDefault="00A20E13" w:rsidP="005F5E2F">
      <w:pPr>
        <w:autoSpaceDE w:val="0"/>
        <w:autoSpaceDN w:val="0"/>
        <w:adjustRightInd w:val="0"/>
        <w:spacing w:line="360" w:lineRule="auto"/>
        <w:jc w:val="both"/>
        <w:rPr>
          <w:rFonts w:eastAsiaTheme="minorHAnsi"/>
          <w:lang w:eastAsia="en-US"/>
        </w:rPr>
      </w:pPr>
      <w:r w:rsidRPr="005F5E2F">
        <w:rPr>
          <w:rFonts w:eastAsiaTheme="minorHAnsi"/>
          <w:lang w:eastAsia="en-US"/>
        </w:rPr>
        <w:t>Wyrok ten zaskarżyli w całości obrońcy obojga oskarżonych.</w:t>
      </w:r>
    </w:p>
    <w:p w14:paraId="1D57FD4A" w14:textId="77777777" w:rsidR="00A20E13" w:rsidRPr="005F5E2F" w:rsidRDefault="00982688" w:rsidP="005F5E2F">
      <w:pPr>
        <w:autoSpaceDE w:val="0"/>
        <w:autoSpaceDN w:val="0"/>
        <w:adjustRightInd w:val="0"/>
        <w:spacing w:line="360" w:lineRule="auto"/>
        <w:jc w:val="both"/>
        <w:rPr>
          <w:rFonts w:eastAsiaTheme="minorHAnsi"/>
          <w:bCs/>
          <w:iCs/>
          <w:lang w:eastAsia="en-US"/>
        </w:rPr>
      </w:pPr>
      <w:r w:rsidRPr="005F5E2F">
        <w:rPr>
          <w:rFonts w:eastAsiaTheme="minorHAnsi"/>
          <w:bCs/>
          <w:iCs/>
          <w:lang w:eastAsia="en-US"/>
        </w:rPr>
        <w:t xml:space="preserve">SA </w:t>
      </w:r>
      <w:r w:rsidR="00A20E13" w:rsidRPr="005F5E2F">
        <w:rPr>
          <w:rFonts w:eastAsiaTheme="minorHAnsi"/>
          <w:bCs/>
          <w:iCs/>
          <w:lang w:eastAsia="en-US"/>
        </w:rPr>
        <w:t>zmieni</w:t>
      </w:r>
      <w:r w:rsidRPr="005F5E2F">
        <w:rPr>
          <w:rFonts w:eastAsiaTheme="minorHAnsi"/>
          <w:bCs/>
          <w:iCs/>
          <w:lang w:eastAsia="en-US"/>
        </w:rPr>
        <w:t>ł</w:t>
      </w:r>
      <w:r w:rsidR="00A20E13" w:rsidRPr="005F5E2F">
        <w:rPr>
          <w:rFonts w:eastAsiaTheme="minorHAnsi"/>
          <w:bCs/>
          <w:iCs/>
          <w:lang w:eastAsia="en-US"/>
        </w:rPr>
        <w:t xml:space="preserve"> zaskarżony wyrok w ten sposób, że:</w:t>
      </w:r>
      <w:r w:rsidRPr="005F5E2F">
        <w:rPr>
          <w:rFonts w:eastAsiaTheme="minorHAnsi"/>
          <w:bCs/>
          <w:iCs/>
          <w:lang w:eastAsia="en-US"/>
        </w:rPr>
        <w:t xml:space="preserve"> </w:t>
      </w:r>
      <w:r w:rsidR="00A20E13" w:rsidRPr="005F5E2F">
        <w:rPr>
          <w:rFonts w:eastAsiaTheme="minorHAnsi"/>
          <w:bCs/>
          <w:iCs/>
          <w:lang w:eastAsia="en-US"/>
        </w:rPr>
        <w:t>uniewinni</w:t>
      </w:r>
      <w:r w:rsidRPr="005F5E2F">
        <w:rPr>
          <w:rFonts w:eastAsiaTheme="minorHAnsi"/>
          <w:bCs/>
          <w:iCs/>
          <w:lang w:eastAsia="en-US"/>
        </w:rPr>
        <w:t>ł</w:t>
      </w:r>
      <w:r w:rsidR="00A20E13" w:rsidRPr="005F5E2F">
        <w:rPr>
          <w:rFonts w:eastAsiaTheme="minorHAnsi"/>
          <w:bCs/>
          <w:iCs/>
          <w:lang w:eastAsia="en-US"/>
        </w:rPr>
        <w:t xml:space="preserve"> R. J. (1) od popełnienia zarzucanego mu czynu, kosztami postępowania w tej części</w:t>
      </w:r>
      <w:r w:rsidRPr="005F5E2F">
        <w:rPr>
          <w:rFonts w:eastAsiaTheme="minorHAnsi"/>
          <w:bCs/>
          <w:iCs/>
          <w:lang w:eastAsia="en-US"/>
        </w:rPr>
        <w:t xml:space="preserve"> </w:t>
      </w:r>
      <w:r w:rsidR="00A20E13" w:rsidRPr="005F5E2F">
        <w:rPr>
          <w:rFonts w:eastAsiaTheme="minorHAnsi"/>
          <w:bCs/>
          <w:iCs/>
          <w:lang w:eastAsia="en-US"/>
        </w:rPr>
        <w:t>obciążając Skarb Państwa,</w:t>
      </w:r>
    </w:p>
    <w:p w14:paraId="539CC291" w14:textId="77777777" w:rsidR="00A20E13" w:rsidRPr="00085B82" w:rsidRDefault="00A20E13" w:rsidP="005F5E2F">
      <w:pPr>
        <w:autoSpaceDE w:val="0"/>
        <w:autoSpaceDN w:val="0"/>
        <w:adjustRightInd w:val="0"/>
        <w:spacing w:line="360" w:lineRule="auto"/>
        <w:jc w:val="both"/>
        <w:rPr>
          <w:rFonts w:eastAsiaTheme="minorHAnsi"/>
          <w:bCs/>
          <w:iCs/>
          <w:lang w:eastAsia="en-US"/>
        </w:rPr>
      </w:pPr>
      <w:r w:rsidRPr="005F5E2F">
        <w:rPr>
          <w:rFonts w:eastAsiaTheme="minorHAnsi"/>
          <w:bCs/>
          <w:iCs/>
          <w:lang w:eastAsia="en-US"/>
        </w:rPr>
        <w:t>w zakresie czynu przypisanego oskarżonej K. T. w pkt II części rozstrzygającej ustal</w:t>
      </w:r>
      <w:r w:rsidR="00982688" w:rsidRPr="005F5E2F">
        <w:rPr>
          <w:rFonts w:eastAsiaTheme="minorHAnsi"/>
          <w:bCs/>
          <w:iCs/>
          <w:lang w:eastAsia="en-US"/>
        </w:rPr>
        <w:t>ił</w:t>
      </w:r>
      <w:r w:rsidRPr="005F5E2F">
        <w:rPr>
          <w:rFonts w:eastAsiaTheme="minorHAnsi"/>
          <w:bCs/>
          <w:iCs/>
          <w:lang w:eastAsia="en-US"/>
        </w:rPr>
        <w:t>, że w dniach</w:t>
      </w:r>
      <w:r w:rsidR="00982688" w:rsidRPr="005F5E2F">
        <w:rPr>
          <w:rFonts w:eastAsiaTheme="minorHAnsi"/>
          <w:bCs/>
          <w:iCs/>
          <w:lang w:eastAsia="en-US"/>
        </w:rPr>
        <w:t xml:space="preserve"> </w:t>
      </w:r>
      <w:r w:rsidRPr="005F5E2F">
        <w:rPr>
          <w:rFonts w:eastAsiaTheme="minorHAnsi"/>
          <w:bCs/>
          <w:iCs/>
          <w:lang w:eastAsia="en-US"/>
        </w:rPr>
        <w:t>27 i 28 marca 2019 roku w K. i L. jako funkcjonariusz Agencji Bezpieczeństwa Wewnętrznego</w:t>
      </w:r>
      <w:r w:rsidR="00982688" w:rsidRPr="005F5E2F">
        <w:rPr>
          <w:rFonts w:eastAsiaTheme="minorHAnsi"/>
          <w:bCs/>
          <w:iCs/>
          <w:lang w:eastAsia="en-US"/>
        </w:rPr>
        <w:t xml:space="preserve"> </w:t>
      </w:r>
      <w:r w:rsidRPr="005F5E2F">
        <w:rPr>
          <w:rFonts w:eastAsiaTheme="minorHAnsi"/>
          <w:bCs/>
          <w:iCs/>
          <w:lang w:eastAsia="en-US"/>
        </w:rPr>
        <w:t>przekroczyła swoje uprawnienia w ten sposób, że ujawniła R. J. (1) za pośrednictwem</w:t>
      </w:r>
      <w:r w:rsidR="00982688" w:rsidRPr="005F5E2F">
        <w:rPr>
          <w:rFonts w:eastAsiaTheme="minorHAnsi"/>
          <w:bCs/>
          <w:iCs/>
          <w:lang w:eastAsia="en-US"/>
        </w:rPr>
        <w:t xml:space="preserve"> </w:t>
      </w:r>
      <w:r w:rsidRPr="005F5E2F">
        <w:rPr>
          <w:rFonts w:eastAsiaTheme="minorHAnsi"/>
          <w:bCs/>
          <w:iCs/>
          <w:lang w:eastAsia="en-US"/>
        </w:rPr>
        <w:t>komunikatora internetowego informacje niejawne o klauzuli „tajne” o prowadzonych wobec niego</w:t>
      </w:r>
      <w:r w:rsidR="00982688" w:rsidRPr="005F5E2F">
        <w:rPr>
          <w:rFonts w:eastAsiaTheme="minorHAnsi"/>
          <w:bCs/>
          <w:iCs/>
          <w:lang w:eastAsia="en-US"/>
        </w:rPr>
        <w:t xml:space="preserve"> </w:t>
      </w:r>
      <w:r w:rsidRPr="005F5E2F">
        <w:rPr>
          <w:rFonts w:eastAsiaTheme="minorHAnsi"/>
          <w:bCs/>
          <w:iCs/>
          <w:lang w:eastAsia="en-US"/>
        </w:rPr>
        <w:t>i M. M. przez funkcjonariuszy Agencji Bezpieczeństwa Wewnętrznego czynnościach operacyjno-rozpoznawczych polegających na obserwacji w trybie art. 23 ust. 1 pkt 6 ustawy z dnia 24 maja</w:t>
      </w:r>
      <w:r w:rsidR="00982688" w:rsidRPr="005F5E2F">
        <w:rPr>
          <w:rFonts w:eastAsiaTheme="minorHAnsi"/>
          <w:bCs/>
          <w:iCs/>
          <w:lang w:eastAsia="en-US"/>
        </w:rPr>
        <w:t xml:space="preserve"> </w:t>
      </w:r>
      <w:r w:rsidRPr="005F5E2F">
        <w:rPr>
          <w:rFonts w:eastAsiaTheme="minorHAnsi"/>
          <w:bCs/>
          <w:iCs/>
          <w:lang w:eastAsia="en-US"/>
        </w:rPr>
        <w:t>2002 roku o Agencji Bezpieczeństwa Wewnętrznego oraz Agencji Wywiadu (tekst jednolity Dz. U. z</w:t>
      </w:r>
      <w:r w:rsidR="00982688" w:rsidRPr="005F5E2F">
        <w:rPr>
          <w:rFonts w:eastAsiaTheme="minorHAnsi"/>
          <w:bCs/>
          <w:iCs/>
          <w:lang w:eastAsia="en-US"/>
        </w:rPr>
        <w:t xml:space="preserve"> </w:t>
      </w:r>
      <w:r w:rsidRPr="005F5E2F">
        <w:rPr>
          <w:rFonts w:eastAsiaTheme="minorHAnsi"/>
          <w:bCs/>
          <w:iCs/>
          <w:lang w:eastAsia="en-US"/>
        </w:rPr>
        <w:t>2022 roku, poz. 557 ze zm.), czym działała na szkodę interesu publicznego i kwalifikuje przypisany</w:t>
      </w:r>
      <w:r w:rsidR="00982688" w:rsidRPr="005F5E2F">
        <w:rPr>
          <w:rFonts w:eastAsiaTheme="minorHAnsi"/>
          <w:bCs/>
          <w:iCs/>
          <w:lang w:eastAsia="en-US"/>
        </w:rPr>
        <w:t xml:space="preserve"> </w:t>
      </w:r>
      <w:r w:rsidRPr="005F5E2F">
        <w:rPr>
          <w:rFonts w:eastAsiaTheme="minorHAnsi"/>
          <w:bCs/>
          <w:iCs/>
          <w:lang w:eastAsia="en-US"/>
        </w:rPr>
        <w:t>jej czyn z art. 231 § 1 k.k. i art. 265 § 1 k.k. w zw. z art. 11 § 2 k.k., przyjmując przepis art. 265 § 1 k.k.</w:t>
      </w:r>
      <w:r w:rsidR="00982688" w:rsidRPr="005F5E2F">
        <w:rPr>
          <w:rFonts w:eastAsiaTheme="minorHAnsi"/>
          <w:bCs/>
          <w:iCs/>
          <w:lang w:eastAsia="en-US"/>
        </w:rPr>
        <w:t xml:space="preserve"> </w:t>
      </w:r>
      <w:r w:rsidRPr="005F5E2F">
        <w:rPr>
          <w:rFonts w:eastAsiaTheme="minorHAnsi"/>
          <w:bCs/>
          <w:iCs/>
          <w:lang w:eastAsia="en-US"/>
        </w:rPr>
        <w:t>w zw. z art. 11 § 3 k.k. za podstawę wymiaru kary,</w:t>
      </w:r>
      <w:r w:rsidR="00982688" w:rsidRPr="005F5E2F">
        <w:rPr>
          <w:rFonts w:eastAsiaTheme="minorHAnsi"/>
          <w:bCs/>
          <w:iCs/>
          <w:lang w:eastAsia="en-US"/>
        </w:rPr>
        <w:t xml:space="preserve"> </w:t>
      </w:r>
      <w:r w:rsidRPr="005F5E2F">
        <w:rPr>
          <w:rFonts w:eastAsiaTheme="minorHAnsi"/>
          <w:bCs/>
          <w:iCs/>
          <w:lang w:eastAsia="en-US"/>
        </w:rPr>
        <w:t>obniża wysokość wymierzonej oskarżonej K. T. w pkt V części rozstrzygającej grzywny do 50</w:t>
      </w:r>
      <w:r w:rsidR="00982688" w:rsidRPr="005F5E2F">
        <w:rPr>
          <w:rFonts w:eastAsiaTheme="minorHAnsi"/>
          <w:bCs/>
          <w:iCs/>
          <w:lang w:eastAsia="en-US"/>
        </w:rPr>
        <w:t xml:space="preserve"> </w:t>
      </w:r>
      <w:r w:rsidRPr="005F5E2F">
        <w:rPr>
          <w:rFonts w:eastAsiaTheme="minorHAnsi"/>
          <w:bCs/>
          <w:iCs/>
          <w:lang w:eastAsia="en-US"/>
        </w:rPr>
        <w:t>(pięćdziesięciu) stawek dziennych,</w:t>
      </w:r>
      <w:r w:rsidR="00B21EC8">
        <w:rPr>
          <w:rFonts w:eastAsiaTheme="minorHAnsi"/>
          <w:bCs/>
          <w:iCs/>
          <w:lang w:eastAsia="en-US"/>
        </w:rPr>
        <w:t xml:space="preserve"> </w:t>
      </w:r>
      <w:r w:rsidRPr="005F5E2F">
        <w:rPr>
          <w:rFonts w:eastAsiaTheme="minorHAnsi"/>
          <w:bCs/>
          <w:iCs/>
          <w:lang w:eastAsia="en-US"/>
        </w:rPr>
        <w:t>w pozostałej części zaskarżony wyrok utrzym</w:t>
      </w:r>
      <w:r w:rsidR="00982688" w:rsidRPr="005F5E2F">
        <w:rPr>
          <w:rFonts w:eastAsiaTheme="minorHAnsi"/>
          <w:bCs/>
          <w:iCs/>
          <w:lang w:eastAsia="en-US"/>
        </w:rPr>
        <w:t>ał</w:t>
      </w:r>
      <w:r w:rsidRPr="005F5E2F">
        <w:rPr>
          <w:rFonts w:eastAsiaTheme="minorHAnsi"/>
          <w:bCs/>
          <w:iCs/>
          <w:lang w:eastAsia="en-US"/>
        </w:rPr>
        <w:t xml:space="preserve"> w mocy,</w:t>
      </w:r>
    </w:p>
    <w:p w14:paraId="3FE127D7" w14:textId="77777777" w:rsidR="00343F12" w:rsidRPr="005F5E2F" w:rsidRDefault="00285EF5" w:rsidP="005F5E2F">
      <w:pPr>
        <w:autoSpaceDE w:val="0"/>
        <w:autoSpaceDN w:val="0"/>
        <w:adjustRightInd w:val="0"/>
        <w:spacing w:line="360" w:lineRule="auto"/>
        <w:ind w:firstLine="708"/>
        <w:jc w:val="both"/>
        <w:rPr>
          <w:rFonts w:eastAsia="Calibri"/>
          <w:iCs/>
          <w:color w:val="000000"/>
        </w:rPr>
      </w:pPr>
      <w:r w:rsidRPr="005F5E2F">
        <w:rPr>
          <w:rFonts w:eastAsia="Calibri"/>
          <w:iCs/>
          <w:color w:val="000000"/>
        </w:rPr>
        <w:t xml:space="preserve">Zdaniem SA rozważania na temat prawidłowości dokonanej przez Sąd Okręgowy oceny dowodów poprzedzać musi odniesienie się do zarzutów dotykających problemu legalności przeprowadzonej kontroli operacyjnej oraz tego, czy uzyskane w jej toku materiały zostały w sposób prawidłowy wprowadzone do procesu. SA zauważa, że  dane pozyskane w toku tej kontroli – przedstawione jako materiał dowodowy w sprawie – wykraczały poza ramy czasowe </w:t>
      </w:r>
      <w:r w:rsidRPr="005F5E2F">
        <w:rPr>
          <w:rFonts w:eastAsia="Calibri"/>
          <w:iCs/>
          <w:color w:val="000000"/>
        </w:rPr>
        <w:lastRenderedPageBreak/>
        <w:t>wynikające z postanowień Sądu Okręgowego w</w:t>
      </w:r>
      <w:r w:rsidR="000A34FB">
        <w:rPr>
          <w:rFonts w:eastAsia="Calibri"/>
          <w:iCs/>
          <w:color w:val="000000"/>
        </w:rPr>
        <w:t xml:space="preserve"> Warszawie</w:t>
      </w:r>
      <w:r w:rsidRPr="005F5E2F">
        <w:rPr>
          <w:rFonts w:eastAsia="Calibri"/>
          <w:iCs/>
          <w:color w:val="000000"/>
        </w:rPr>
        <w:t xml:space="preserve">  (obejmowały także dane za okres poprzedzający zarządzenie kontroli – z kilku miesięcy sprzed października 2018 roku). </w:t>
      </w:r>
      <w:r w:rsidR="000A34FB">
        <w:rPr>
          <w:rFonts w:eastAsia="Calibri"/>
          <w:iCs/>
          <w:color w:val="000000"/>
        </w:rPr>
        <w:t xml:space="preserve">SA stawia </w:t>
      </w:r>
      <w:r w:rsidRPr="005F5E2F">
        <w:rPr>
          <w:rFonts w:eastAsia="Calibri"/>
          <w:iCs/>
          <w:color w:val="000000"/>
        </w:rPr>
        <w:t xml:space="preserve">pytanie o znaczenie tej okoliczności z punktu widzenia legalności czynności operacyjnych – ich zgodności z warunkami ustawowymi określonymi w art. 17 ustawy o CBA. </w:t>
      </w:r>
      <w:r w:rsidR="00343F12" w:rsidRPr="005F5E2F">
        <w:rPr>
          <w:rFonts w:eastAsia="Calibri"/>
          <w:iCs/>
          <w:color w:val="000000"/>
        </w:rPr>
        <w:t>Z</w:t>
      </w:r>
      <w:r w:rsidRPr="005F5E2F">
        <w:rPr>
          <w:rFonts w:eastAsia="Calibri"/>
          <w:iCs/>
          <w:color w:val="000000"/>
        </w:rPr>
        <w:t>daniem Sądu Apelacyjnego, rysują się dwie możliwości. Pierwsza</w:t>
      </w:r>
      <w:r w:rsidR="000A34FB">
        <w:rPr>
          <w:rFonts w:eastAsia="Calibri"/>
          <w:iCs/>
          <w:color w:val="000000"/>
        </w:rPr>
        <w:t xml:space="preserve"> (zdaniem SA </w:t>
      </w:r>
      <w:r w:rsidRPr="005F5E2F">
        <w:rPr>
          <w:rFonts w:eastAsia="Calibri"/>
          <w:iCs/>
          <w:color w:val="000000"/>
        </w:rPr>
        <w:t>najprostsza</w:t>
      </w:r>
      <w:r w:rsidR="000A34FB">
        <w:rPr>
          <w:rFonts w:eastAsia="Calibri"/>
          <w:iCs/>
          <w:color w:val="000000"/>
        </w:rPr>
        <w:t>)</w:t>
      </w:r>
      <w:r w:rsidRPr="005F5E2F">
        <w:rPr>
          <w:rFonts w:eastAsia="Calibri"/>
          <w:iCs/>
          <w:color w:val="000000"/>
        </w:rPr>
        <w:t xml:space="preserve"> to taka, że czynności operacyjne wobec oskarżonego zostały wdrożone przez służby na długo przed tym, jak Sąd Okręgowy w Warszawie wydał postanowienie na podstawie art. 17 ust. 2 ustawy o CBA i były one prowadzone przy braku tej decyzji procesowej przez okres kilku miesięcy</w:t>
      </w:r>
      <w:r w:rsidR="000A34FB">
        <w:rPr>
          <w:rFonts w:eastAsia="Calibri"/>
          <w:iCs/>
          <w:color w:val="000000"/>
        </w:rPr>
        <w:t>.</w:t>
      </w:r>
      <w:r w:rsidRPr="005F5E2F">
        <w:rPr>
          <w:rFonts w:eastAsia="Calibri"/>
          <w:iCs/>
          <w:color w:val="000000"/>
        </w:rPr>
        <w:t xml:space="preserve"> </w:t>
      </w:r>
      <w:r w:rsidR="000A34FB">
        <w:rPr>
          <w:rFonts w:eastAsia="Calibri"/>
          <w:iCs/>
          <w:color w:val="000000"/>
        </w:rPr>
        <w:t>N</w:t>
      </w:r>
      <w:r w:rsidRPr="005F5E2F">
        <w:rPr>
          <w:rFonts w:eastAsia="Calibri"/>
          <w:iCs/>
          <w:color w:val="000000"/>
        </w:rPr>
        <w:t xml:space="preserve">astępnie </w:t>
      </w:r>
      <w:r w:rsidR="000A34FB">
        <w:rPr>
          <w:rFonts w:eastAsia="Calibri"/>
          <w:iCs/>
          <w:color w:val="000000"/>
        </w:rPr>
        <w:t xml:space="preserve">były </w:t>
      </w:r>
      <w:r w:rsidRPr="005F5E2F">
        <w:rPr>
          <w:rFonts w:eastAsia="Calibri"/>
          <w:iCs/>
          <w:color w:val="000000"/>
        </w:rPr>
        <w:t xml:space="preserve">kontynuowane </w:t>
      </w:r>
      <w:r w:rsidR="000A34FB">
        <w:rPr>
          <w:rFonts w:eastAsia="Calibri"/>
          <w:iCs/>
          <w:color w:val="000000"/>
        </w:rPr>
        <w:t>(</w:t>
      </w:r>
      <w:r w:rsidRPr="005F5E2F">
        <w:rPr>
          <w:rFonts w:eastAsia="Calibri"/>
          <w:iCs/>
          <w:color w:val="000000"/>
        </w:rPr>
        <w:t>na mocy orzeczeń Sądu</w:t>
      </w:r>
      <w:r w:rsidR="000A34FB">
        <w:rPr>
          <w:rFonts w:eastAsia="Calibri"/>
          <w:iCs/>
          <w:color w:val="000000"/>
        </w:rPr>
        <w:t>)</w:t>
      </w:r>
      <w:r w:rsidRPr="005F5E2F">
        <w:rPr>
          <w:rFonts w:eastAsia="Calibri"/>
          <w:iCs/>
          <w:color w:val="000000"/>
        </w:rPr>
        <w:t xml:space="preserve"> przez kolejne niespełna 6 miesięcy. Drug</w:t>
      </w:r>
      <w:r w:rsidR="007E25C6">
        <w:rPr>
          <w:rFonts w:eastAsia="Calibri"/>
          <w:iCs/>
          <w:color w:val="000000"/>
        </w:rPr>
        <w:t>ą</w:t>
      </w:r>
      <w:r w:rsidRPr="005F5E2F">
        <w:rPr>
          <w:rFonts w:eastAsia="Calibri"/>
          <w:iCs/>
          <w:color w:val="000000"/>
        </w:rPr>
        <w:t xml:space="preserve"> możliwość</w:t>
      </w:r>
      <w:r w:rsidR="007E25C6">
        <w:rPr>
          <w:rFonts w:eastAsia="Calibri"/>
          <w:iCs/>
          <w:color w:val="000000"/>
        </w:rPr>
        <w:t xml:space="preserve"> stwarza</w:t>
      </w:r>
      <w:r w:rsidRPr="005F5E2F">
        <w:rPr>
          <w:rFonts w:eastAsia="Calibri"/>
          <w:iCs/>
          <w:color w:val="000000"/>
        </w:rPr>
        <w:t xml:space="preserve"> wykorzystanie do pozyskania treści rozmów prowadzonych za pośrednictwem komunikatorów internetowych takiego środka technicznego, który umożliwiał dostęp do szerokiego spektrum danych z telefonu oskarżonego, w tym historycznych, bez jego wiedzy, ale także bez wiedzy operatora komunikatora, za pomocą którego oskarżony prowadził rozmowy pozostające w zainteresowaniu służb.</w:t>
      </w:r>
    </w:p>
    <w:p w14:paraId="3BC243EA" w14:textId="77777777" w:rsidR="00285EF5" w:rsidRPr="005F5E2F" w:rsidRDefault="00285EF5" w:rsidP="005F5E2F">
      <w:pPr>
        <w:autoSpaceDE w:val="0"/>
        <w:autoSpaceDN w:val="0"/>
        <w:adjustRightInd w:val="0"/>
        <w:spacing w:line="360" w:lineRule="auto"/>
        <w:ind w:firstLine="708"/>
        <w:jc w:val="both"/>
        <w:rPr>
          <w:rFonts w:eastAsiaTheme="minorHAnsi"/>
        </w:rPr>
      </w:pPr>
      <w:r w:rsidRPr="005F5E2F">
        <w:t xml:space="preserve"> Należy podzielić pogląd SA, że pierwsza z tych sytuacji oznaczałaby nielegalność tej czynności, ale w tej sprawie nie mieliśmy z tym do czynienia – gdyby miała ona miejsce SA powinien złożyć zawiadomienie o popełnieniu przestępstwa (a tego nie uczynił).  </w:t>
      </w:r>
      <w:r w:rsidRPr="005F5E2F">
        <w:rPr>
          <w:rFonts w:eastAsia="Calibri"/>
          <w:iCs/>
          <w:color w:val="000000"/>
        </w:rPr>
        <w:t>Jeśli chodzi o drugą z możliwości SA stwierdza, że także ona nie może być uznana za legalny sposób pozyskania w wyniku kontroli operacyjnej materiałów mających stanowić dowód w procesie. W dalszych wywodach SA odnosi się do informacji, które pojawiły się w przestrzeni publicznej o wykorzystywaniu przez służby specjalne różnych państw, w tym europejskich, w tym w Polsce, oprogramowania do cybernetycznej inwigilacji. Następnie SA podaje dość szczegółowo opis możliwości technicznych tego oprogramowania, które z uwagi na wyjątkowe możliwości, jakie to oprogramowanie oferuje użytkownikom jest ono określane jako broń cybernetyczna, jako ofensywne narzędzie klasy wojskowej.</w:t>
      </w:r>
      <w:r w:rsidRPr="005F5E2F">
        <w:rPr>
          <w:rStyle w:val="Odwoanieprzypisudolnego"/>
          <w:rFonts w:eastAsia="Calibri"/>
          <w:iCs/>
          <w:color w:val="000000"/>
        </w:rPr>
        <w:footnoteReference w:id="2"/>
      </w:r>
    </w:p>
    <w:p w14:paraId="26B4358F" w14:textId="77777777" w:rsidR="00955E17" w:rsidRPr="005F5E2F" w:rsidRDefault="00285EF5" w:rsidP="005F5E2F">
      <w:pPr>
        <w:pStyle w:val="Default"/>
        <w:spacing w:line="360" w:lineRule="auto"/>
        <w:ind w:firstLine="708"/>
        <w:jc w:val="both"/>
        <w:rPr>
          <w:rFonts w:eastAsia="Calibri"/>
          <w:lang w:eastAsia="pl-PL"/>
        </w:rPr>
      </w:pPr>
      <w:r w:rsidRPr="005F5E2F">
        <w:rPr>
          <w:rFonts w:eastAsia="Calibri"/>
          <w:iCs/>
        </w:rPr>
        <w:t>Zdaniem SA podniesione w toku postępowania odwoławczego poważne zastrzeżenia co do legalności użycia takiego środka techniki operacyjnej powodują konieczność ich rozważenia i obligują do zajęcia stanowiska w tym względzie, zważywszy na ich znaczenie dla rozstrzygnięcia sprawy.</w:t>
      </w:r>
      <w:r w:rsidRPr="005F5E2F">
        <w:rPr>
          <w:rFonts w:eastAsia="Calibri"/>
        </w:rPr>
        <w:t xml:space="preserve"> </w:t>
      </w:r>
      <w:r w:rsidR="00955E17" w:rsidRPr="005F5E2F">
        <w:rPr>
          <w:rFonts w:eastAsia="Calibri"/>
          <w:iCs/>
        </w:rPr>
        <w:t xml:space="preserve">SA </w:t>
      </w:r>
      <w:r w:rsidR="00D61292" w:rsidRPr="005F5E2F">
        <w:rPr>
          <w:rFonts w:eastAsia="Calibri"/>
          <w:iCs/>
        </w:rPr>
        <w:t xml:space="preserve">formując pogląd o nielegalności środka techniki o cechach </w:t>
      </w:r>
      <w:r w:rsidR="00D61292" w:rsidRPr="005F5E2F">
        <w:rPr>
          <w:rFonts w:eastAsia="Calibri"/>
          <w:iCs/>
        </w:rPr>
        <w:lastRenderedPageBreak/>
        <w:t xml:space="preserve">programu </w:t>
      </w:r>
      <w:proofErr w:type="spellStart"/>
      <w:r w:rsidR="00D61292" w:rsidRPr="005F5E2F">
        <w:rPr>
          <w:rFonts w:eastAsia="Calibri"/>
          <w:iCs/>
        </w:rPr>
        <w:t>Pegasus</w:t>
      </w:r>
      <w:proofErr w:type="spellEnd"/>
      <w:r w:rsidR="00D61292" w:rsidRPr="005F5E2F">
        <w:rPr>
          <w:rFonts w:eastAsia="Calibri"/>
          <w:iCs/>
        </w:rPr>
        <w:t xml:space="preserve"> </w:t>
      </w:r>
      <w:r w:rsidR="00955E17" w:rsidRPr="005F5E2F">
        <w:rPr>
          <w:rFonts w:eastAsia="Calibri"/>
          <w:iCs/>
        </w:rPr>
        <w:t xml:space="preserve">w swoim uzasadnieniu opiera się </w:t>
      </w:r>
      <w:r w:rsidR="00B21EC8">
        <w:rPr>
          <w:rFonts w:eastAsia="Calibri"/>
          <w:iCs/>
        </w:rPr>
        <w:t>głównie</w:t>
      </w:r>
      <w:r w:rsidR="00955E17" w:rsidRPr="005F5E2F">
        <w:rPr>
          <w:rFonts w:eastAsia="Calibri"/>
          <w:iCs/>
        </w:rPr>
        <w:t xml:space="preserve"> na ekspertyzie przygotowanej przez pracowników Katedry Prawa Karnego UJ (wielokrotnie się na nią powołując) zatytułowanej „</w:t>
      </w:r>
      <w:r w:rsidR="00955E17" w:rsidRPr="00B21EC8">
        <w:rPr>
          <w:rFonts w:eastAsia="Calibri"/>
          <w:bCs/>
          <w:i/>
        </w:rPr>
        <w:t xml:space="preserve">Dopuszczalność nabycia i używania w ramach kontroli operacyjnej określonego typu programów komputerowych (casus </w:t>
      </w:r>
      <w:proofErr w:type="spellStart"/>
      <w:r w:rsidR="00955E17" w:rsidRPr="00B21EC8">
        <w:rPr>
          <w:rFonts w:eastAsia="Calibri"/>
          <w:bCs/>
          <w:i/>
        </w:rPr>
        <w:t>Pegasusa</w:t>
      </w:r>
      <w:proofErr w:type="spellEnd"/>
      <w:r w:rsidR="00955E17" w:rsidRPr="00B21EC8">
        <w:rPr>
          <w:rFonts w:eastAsia="Calibri"/>
          <w:bCs/>
          <w:i/>
        </w:rPr>
        <w:t>)</w:t>
      </w:r>
      <w:r w:rsidR="00955E17" w:rsidRPr="005F5E2F">
        <w:rPr>
          <w:rFonts w:eastAsia="Calibri"/>
          <w:bCs/>
        </w:rPr>
        <w:t xml:space="preserve">” </w:t>
      </w:r>
      <w:r w:rsidR="00955E17" w:rsidRPr="005F5E2F">
        <w:rPr>
          <w:rStyle w:val="Odwoanieprzypisudolnego"/>
          <w:rFonts w:eastAsia="Calibri"/>
          <w:bCs/>
        </w:rPr>
        <w:footnoteReference w:id="3"/>
      </w:r>
      <w:r w:rsidR="00955E17" w:rsidRPr="005F5E2F">
        <w:rPr>
          <w:rFonts w:eastAsia="Calibri"/>
          <w:bCs/>
        </w:rPr>
        <w:t xml:space="preserve"> Autorzy tej ekspertyzy </w:t>
      </w:r>
      <w:r w:rsidR="00955E17" w:rsidRPr="005F5E2F">
        <w:t>ustalili</w:t>
      </w:r>
      <w:r w:rsidR="00E56276" w:rsidRPr="005F5E2F">
        <w:rPr>
          <w:rStyle w:val="Odwoanieprzypisudolnego"/>
        </w:rPr>
        <w:footnoteReference w:id="4"/>
      </w:r>
      <w:r w:rsidR="00955E17" w:rsidRPr="005F5E2F">
        <w:t xml:space="preserve">, że w odniesieniu do stosowania systemu </w:t>
      </w:r>
      <w:proofErr w:type="spellStart"/>
      <w:r w:rsidR="00955E17" w:rsidRPr="005F5E2F">
        <w:t>Pegasus</w:t>
      </w:r>
      <w:proofErr w:type="spellEnd"/>
      <w:r w:rsidR="00955E17" w:rsidRPr="005F5E2F">
        <w:t xml:space="preserve"> doszło do złamania dyspozycji art. 48 ustawy z dnia 5 sierpnia 2010 r. o ochronie informacji niejawnych</w:t>
      </w:r>
      <w:r w:rsidR="00983CCD">
        <w:rPr>
          <w:rStyle w:val="Odwoanieprzypisudolnego"/>
        </w:rPr>
        <w:footnoteReference w:id="5"/>
      </w:r>
      <w:r w:rsidR="00955E17" w:rsidRPr="005F5E2F">
        <w:t xml:space="preserve"> (oraz wydanego na mocy art. 49 ust. 9 tej ustawy oraz roz</w:t>
      </w:r>
      <w:r w:rsidR="00955E17" w:rsidRPr="005F5E2F">
        <w:softHyphen/>
        <w:t>porządzenia Prezesa Rady Ministrów z dnia 20 lipca 2011 r. w sprawie podstawowych wymagań bezpieczeństwa teleinformatycznego</w:t>
      </w:r>
      <w:r w:rsidR="00983CCD" w:rsidRPr="005F5E2F">
        <w:rPr>
          <w:rStyle w:val="Odwoanieprzypisudolnego"/>
        </w:rPr>
        <w:footnoteReference w:id="6"/>
      </w:r>
      <w:r w:rsidR="00955E17" w:rsidRPr="005F5E2F">
        <w:t>)</w:t>
      </w:r>
      <w:r w:rsidR="00983CCD">
        <w:t>, b</w:t>
      </w:r>
      <w:r w:rsidR="00955E17" w:rsidRPr="005F5E2F">
        <w:t xml:space="preserve">owiem zgodnie z </w:t>
      </w:r>
      <w:r w:rsidR="00955E17" w:rsidRPr="005F5E2F">
        <w:rPr>
          <w:rFonts w:eastAsia="Calibri"/>
          <w:bCs/>
          <w:lang w:eastAsia="pl-PL"/>
        </w:rPr>
        <w:t>art. 48</w:t>
      </w:r>
      <w:r w:rsidR="00955E17" w:rsidRPr="005F5E2F">
        <w:rPr>
          <w:rFonts w:eastAsia="Calibri"/>
          <w:b/>
          <w:bCs/>
          <w:lang w:eastAsia="pl-PL"/>
        </w:rPr>
        <w:t xml:space="preserve"> </w:t>
      </w:r>
      <w:r w:rsidR="00955E17" w:rsidRPr="005F5E2F">
        <w:rPr>
          <w:rFonts w:eastAsia="Calibri"/>
          <w:bCs/>
          <w:lang w:eastAsia="pl-PL"/>
        </w:rPr>
        <w:t xml:space="preserve">ust. </w:t>
      </w:r>
      <w:r w:rsidR="00955E17" w:rsidRPr="005F5E2F">
        <w:rPr>
          <w:rFonts w:eastAsia="Calibri"/>
          <w:lang w:eastAsia="pl-PL"/>
        </w:rPr>
        <w:t>1 cytowanej ustawy systemy teleinformatyczne, w których mają być przetwarzane informacje niejawne, podlegają akredytacji bezpieczeństwa teleinformatycznego.</w:t>
      </w:r>
      <w:r w:rsidR="00E56276" w:rsidRPr="005F5E2F">
        <w:rPr>
          <w:rStyle w:val="Odwoanieprzypisudolnego"/>
        </w:rPr>
        <w:t xml:space="preserve"> </w:t>
      </w:r>
      <w:r w:rsidR="00955E17" w:rsidRPr="005F5E2F">
        <w:rPr>
          <w:rFonts w:eastAsia="Calibri"/>
          <w:lang w:eastAsia="pl-PL"/>
        </w:rPr>
        <w:t xml:space="preserve">Używanie systemu </w:t>
      </w:r>
      <w:proofErr w:type="spellStart"/>
      <w:r w:rsidR="00955E17" w:rsidRPr="005F5E2F">
        <w:rPr>
          <w:rFonts w:eastAsia="Calibri"/>
          <w:lang w:eastAsia="pl-PL"/>
        </w:rPr>
        <w:t>Pegasus</w:t>
      </w:r>
      <w:proofErr w:type="spellEnd"/>
      <w:r w:rsidR="00955E17" w:rsidRPr="005F5E2F">
        <w:rPr>
          <w:rFonts w:eastAsia="Calibri"/>
          <w:lang w:eastAsia="pl-PL"/>
        </w:rPr>
        <w:t xml:space="preserve"> jest niezgodne z prawem</w:t>
      </w:r>
      <w:r w:rsidR="00983CCD">
        <w:rPr>
          <w:rFonts w:eastAsia="Calibri"/>
          <w:lang w:eastAsia="pl-PL"/>
        </w:rPr>
        <w:t xml:space="preserve">, </w:t>
      </w:r>
      <w:r w:rsidR="00955E17" w:rsidRPr="005F5E2F">
        <w:rPr>
          <w:rFonts w:eastAsia="Calibri"/>
          <w:lang w:eastAsia="pl-PL"/>
        </w:rPr>
        <w:t xml:space="preserve">ponieważ nie mógłby uzyskać świadectwa akredytacji informatycznej, wymaganej zgodnie z cytowanym wyżej przepisem ustawy </w:t>
      </w:r>
      <w:r w:rsidR="00955E17" w:rsidRPr="005F5E2F">
        <w:t>o ochronie informacji niejawnych.</w:t>
      </w:r>
      <w:r w:rsidR="00955E17" w:rsidRPr="005F5E2F">
        <w:rPr>
          <w:rStyle w:val="Odwoanieprzypisudolnego"/>
        </w:rPr>
        <w:footnoteReference w:id="7"/>
      </w:r>
      <w:r w:rsidR="00955E17" w:rsidRPr="005F5E2F">
        <w:rPr>
          <w:rFonts w:eastAsia="Calibri"/>
          <w:lang w:eastAsia="pl-PL"/>
        </w:rPr>
        <w:t xml:space="preserve"> </w:t>
      </w:r>
      <w:r w:rsidR="0088767C" w:rsidRPr="005F5E2F">
        <w:rPr>
          <w:rFonts w:eastAsia="Calibri"/>
          <w:lang w:eastAsia="pl-PL"/>
        </w:rPr>
        <w:t xml:space="preserve">Uzasadnienie wyroku SA jest wiernym powtórzeniem tych poglądów.  </w:t>
      </w:r>
    </w:p>
    <w:p w14:paraId="6A7788B6" w14:textId="77777777" w:rsidR="00365690" w:rsidRPr="005F5E2F" w:rsidRDefault="00285EF5" w:rsidP="005F5E2F">
      <w:pPr>
        <w:pStyle w:val="Default"/>
        <w:spacing w:line="360" w:lineRule="auto"/>
        <w:ind w:firstLine="708"/>
        <w:jc w:val="both"/>
        <w:rPr>
          <w:rFonts w:eastAsia="Calibri"/>
          <w:iCs/>
        </w:rPr>
      </w:pPr>
      <w:r w:rsidRPr="005F5E2F">
        <w:rPr>
          <w:rFonts w:eastAsia="Calibri"/>
          <w:iCs/>
        </w:rPr>
        <w:t>W swoim uzasadnieniu SA nie używa określenia „</w:t>
      </w:r>
      <w:proofErr w:type="spellStart"/>
      <w:r w:rsidRPr="005F5E2F">
        <w:rPr>
          <w:rFonts w:eastAsia="Calibri"/>
          <w:iCs/>
        </w:rPr>
        <w:t>Pegasus</w:t>
      </w:r>
      <w:proofErr w:type="spellEnd"/>
      <w:r w:rsidRPr="005F5E2F">
        <w:rPr>
          <w:rFonts w:eastAsia="Calibri"/>
          <w:iCs/>
        </w:rPr>
        <w:t>”, w odniesieniu do środka techniki, który został zastosowany w czasie kontroli   operacyjnej w tej sprawie, ale stwierdził, że „silne przesłanki zdaja się wskazywać, że tego rodzaju system mógł zostać użyty”.</w:t>
      </w:r>
      <w:r w:rsidRPr="005F5E2F">
        <w:rPr>
          <w:rStyle w:val="Odwoanieprzypisudolnego"/>
          <w:rFonts w:eastAsia="Calibri"/>
          <w:iCs/>
        </w:rPr>
        <w:footnoteReference w:id="8"/>
      </w:r>
      <w:r w:rsidRPr="005F5E2F">
        <w:rPr>
          <w:rFonts w:eastAsia="Calibri"/>
          <w:iCs/>
        </w:rPr>
        <w:t xml:space="preserve"> </w:t>
      </w:r>
    </w:p>
    <w:p w14:paraId="06C49F30" w14:textId="77777777" w:rsidR="0014648D" w:rsidRPr="005F5E2F" w:rsidRDefault="006D7CC9" w:rsidP="005F5E2F">
      <w:pPr>
        <w:pStyle w:val="Default"/>
        <w:spacing w:line="360" w:lineRule="auto"/>
        <w:ind w:firstLine="708"/>
        <w:jc w:val="both"/>
        <w:rPr>
          <w:rFonts w:eastAsia="Calibri"/>
          <w:iCs/>
        </w:rPr>
      </w:pPr>
      <w:r w:rsidRPr="005F5E2F">
        <w:rPr>
          <w:rFonts w:eastAsia="Calibri"/>
          <w:lang w:eastAsia="pl-PL"/>
        </w:rPr>
        <w:t xml:space="preserve">Z poglądem SA, że stosowanie w ramach kontroli operacyjnej środków technicznych  o </w:t>
      </w:r>
      <w:r w:rsidR="00266142" w:rsidRPr="005F5E2F">
        <w:rPr>
          <w:rFonts w:eastAsia="Calibri"/>
          <w:lang w:eastAsia="pl-PL"/>
        </w:rPr>
        <w:t xml:space="preserve">takich </w:t>
      </w:r>
      <w:r w:rsidRPr="005F5E2F">
        <w:rPr>
          <w:rFonts w:eastAsia="Calibri"/>
          <w:lang w:eastAsia="pl-PL"/>
        </w:rPr>
        <w:t xml:space="preserve">właściwościach  (cechach) jak program </w:t>
      </w:r>
      <w:proofErr w:type="spellStart"/>
      <w:r w:rsidRPr="005F5E2F">
        <w:rPr>
          <w:rFonts w:eastAsia="Calibri"/>
          <w:lang w:eastAsia="pl-PL"/>
        </w:rPr>
        <w:t>Pegasus</w:t>
      </w:r>
      <w:proofErr w:type="spellEnd"/>
      <w:r w:rsidRPr="005F5E2F">
        <w:rPr>
          <w:rFonts w:eastAsia="Calibri"/>
          <w:lang w:eastAsia="pl-PL"/>
        </w:rPr>
        <w:t xml:space="preserve"> jest nielegalne nie można się zgodzić. </w:t>
      </w:r>
      <w:r w:rsidR="00A2021F" w:rsidRPr="005F5E2F">
        <w:rPr>
          <w:rFonts w:eastAsia="Calibri"/>
          <w:lang w:eastAsia="pl-PL"/>
        </w:rPr>
        <w:t xml:space="preserve">Zgodnie z </w:t>
      </w:r>
      <w:r w:rsidR="00266142" w:rsidRPr="005F5E2F">
        <w:rPr>
          <w:rFonts w:eastAsia="Calibri"/>
          <w:lang w:eastAsia="pl-PL"/>
        </w:rPr>
        <w:t xml:space="preserve">dyrektywami </w:t>
      </w:r>
      <w:r w:rsidR="00A2021F" w:rsidRPr="005F5E2F">
        <w:rPr>
          <w:rFonts w:eastAsia="Calibri"/>
          <w:lang w:eastAsia="pl-PL"/>
        </w:rPr>
        <w:t xml:space="preserve">wykładni </w:t>
      </w:r>
      <w:r w:rsidR="006726A6" w:rsidRPr="005F5E2F">
        <w:rPr>
          <w:rFonts w:eastAsia="Calibri"/>
          <w:lang w:eastAsia="pl-PL"/>
        </w:rPr>
        <w:t xml:space="preserve">prawa przyjmuje się zasadę pierwszeństwa wykładni językowej przed wykładnią systemową i funkcjonalną. </w:t>
      </w:r>
      <w:r w:rsidR="00145EE7" w:rsidRPr="005F5E2F">
        <w:rPr>
          <w:rFonts w:eastAsia="Calibri"/>
          <w:lang w:eastAsia="pl-PL"/>
        </w:rPr>
        <w:t>Zasada pierwszeństwa wykładni językowej i subsydiarności wykładni systemowej i funkcjonalnej oznacza, że w sytuacji, gdy wykładnia językowa prowadzi do jasnego i jednoznacznego rezultatu, to w zasadzie tekst nie wymaga już dalszych zabiegów interpretacyjnych. Do wyk</w:t>
      </w:r>
      <w:r w:rsidR="0014648D" w:rsidRPr="005F5E2F">
        <w:rPr>
          <w:rFonts w:eastAsia="Calibri"/>
          <w:lang w:eastAsia="pl-PL"/>
        </w:rPr>
        <w:t>ł</w:t>
      </w:r>
      <w:r w:rsidR="00145EE7" w:rsidRPr="005F5E2F">
        <w:rPr>
          <w:rFonts w:eastAsia="Calibri"/>
          <w:lang w:eastAsia="pl-PL"/>
        </w:rPr>
        <w:t>adni systemowej i funkcjonalnej</w:t>
      </w:r>
      <w:r w:rsidR="0014648D" w:rsidRPr="005F5E2F">
        <w:rPr>
          <w:rFonts w:eastAsia="Calibri"/>
          <w:lang w:eastAsia="pl-PL"/>
        </w:rPr>
        <w:t xml:space="preserve"> należy się odwołać tylko wtedy</w:t>
      </w:r>
      <w:r w:rsidR="00983CCD">
        <w:rPr>
          <w:rFonts w:eastAsia="Calibri"/>
          <w:lang w:eastAsia="pl-PL"/>
        </w:rPr>
        <w:t xml:space="preserve">, </w:t>
      </w:r>
      <w:r w:rsidR="0014648D" w:rsidRPr="005F5E2F">
        <w:rPr>
          <w:rFonts w:eastAsia="Calibri"/>
          <w:lang w:eastAsia="pl-PL"/>
        </w:rPr>
        <w:t>gdy wykładnia językowa nie usunęła wszelkich wątpliwości.</w:t>
      </w:r>
      <w:r w:rsidR="00145EE7" w:rsidRPr="005F5E2F">
        <w:rPr>
          <w:rStyle w:val="Odwoanieprzypisudolnego"/>
          <w:rFonts w:eastAsia="Calibri"/>
          <w:lang w:eastAsia="pl-PL"/>
        </w:rPr>
        <w:footnoteReference w:id="9"/>
      </w:r>
      <w:r w:rsidR="0014648D" w:rsidRPr="005F5E2F">
        <w:rPr>
          <w:rFonts w:eastAsia="Calibri"/>
          <w:lang w:eastAsia="pl-PL"/>
        </w:rPr>
        <w:t xml:space="preserve"> </w:t>
      </w:r>
      <w:r w:rsidR="0014648D" w:rsidRPr="005F5E2F">
        <w:rPr>
          <w:rFonts w:eastAsia="Calibri"/>
          <w:lang w:eastAsia="pl-PL"/>
        </w:rPr>
        <w:lastRenderedPageBreak/>
        <w:t>SA wbrew zasadom wykładni prawa</w:t>
      </w:r>
      <w:r w:rsidRPr="005F5E2F">
        <w:rPr>
          <w:rFonts w:eastAsia="Calibri"/>
          <w:lang w:eastAsia="pl-PL"/>
        </w:rPr>
        <w:t xml:space="preserve"> </w:t>
      </w:r>
      <w:r w:rsidR="0014648D" w:rsidRPr="005F5E2F">
        <w:rPr>
          <w:rFonts w:eastAsia="Calibri"/>
          <w:lang w:eastAsia="pl-PL"/>
        </w:rPr>
        <w:t>oparł się na wykładni systemowej i funkcjonalnej z pominięciem wykładni językowej</w:t>
      </w:r>
      <w:r w:rsidR="00933CB0" w:rsidRPr="005F5E2F">
        <w:rPr>
          <w:rFonts w:eastAsia="Calibri"/>
          <w:lang w:eastAsia="pl-PL"/>
        </w:rPr>
        <w:t xml:space="preserve"> przepisu art. </w:t>
      </w:r>
      <w:r w:rsidR="00933CB0" w:rsidRPr="005F5E2F">
        <w:t>w art. 17 ust.</w:t>
      </w:r>
      <w:r w:rsidR="00933CB0" w:rsidRPr="005F5E2F">
        <w:rPr>
          <w:b/>
          <w:bCs/>
        </w:rPr>
        <w:t xml:space="preserve"> </w:t>
      </w:r>
      <w:r w:rsidR="00933CB0" w:rsidRPr="005F5E2F">
        <w:t>1</w:t>
      </w:r>
      <w:r w:rsidR="00983CCD">
        <w:t xml:space="preserve"> </w:t>
      </w:r>
      <w:r w:rsidR="00933CB0" w:rsidRPr="005F5E2F">
        <w:t>ustawy</w:t>
      </w:r>
      <w:r w:rsidR="00933CB0" w:rsidRPr="005F5E2F">
        <w:rPr>
          <w:rFonts w:eastAsia="Calibri"/>
          <w:lang w:eastAsia="pl-PL"/>
        </w:rPr>
        <w:t xml:space="preserve"> o CBA</w:t>
      </w:r>
      <w:r w:rsidR="0014648D" w:rsidRPr="005F5E2F">
        <w:rPr>
          <w:rFonts w:eastAsia="Calibri"/>
          <w:lang w:eastAsia="pl-PL"/>
        </w:rPr>
        <w:t xml:space="preserve">. </w:t>
      </w:r>
    </w:p>
    <w:p w14:paraId="401BAB96" w14:textId="77777777" w:rsidR="00A2021F" w:rsidRPr="005F5E2F" w:rsidRDefault="0014648D" w:rsidP="005F5E2F">
      <w:pPr>
        <w:pStyle w:val="Default"/>
        <w:spacing w:line="360" w:lineRule="auto"/>
        <w:ind w:firstLine="708"/>
        <w:jc w:val="both"/>
      </w:pPr>
      <w:r w:rsidRPr="005F5E2F">
        <w:t>Z punktu widzenia wykładni językowej k</w:t>
      </w:r>
      <w:r w:rsidR="00A2021F" w:rsidRPr="005F5E2F">
        <w:t>luczowe znaczenia dla rozstrzygnięcia kwestii legalności stosowania „</w:t>
      </w:r>
      <w:proofErr w:type="spellStart"/>
      <w:r w:rsidR="00A2021F" w:rsidRPr="005F5E2F">
        <w:t>Pegasusa</w:t>
      </w:r>
      <w:proofErr w:type="spellEnd"/>
      <w:r w:rsidR="00A2021F" w:rsidRPr="005F5E2F">
        <w:t>” ma wyznaczenie zakresu znaczeniowego terminu „środek techniczny”, użytego w przepisach dotyczących kontroli operacyjnej</w:t>
      </w:r>
      <w:r w:rsidR="00933CB0" w:rsidRPr="005F5E2F">
        <w:t xml:space="preserve"> </w:t>
      </w:r>
      <w:r w:rsidR="00085B82">
        <w:t>(art. 17 ustawy o CBA)</w:t>
      </w:r>
      <w:r w:rsidR="00A2021F" w:rsidRPr="005F5E2F">
        <w:t>. W całym ustawodawstwie policyjnym nie znajdziemy definicji pojęcia „środek techniczny”, o którym mowa w przepisach regulujących instytucję kontroli operacyjnej.</w:t>
      </w:r>
      <w:r w:rsidRPr="005F5E2F">
        <w:rPr>
          <w:rStyle w:val="Odwoanieprzypisudolnego"/>
        </w:rPr>
        <w:footnoteReference w:id="10"/>
      </w:r>
      <w:r w:rsidRPr="005F5E2F">
        <w:t xml:space="preserve"> </w:t>
      </w:r>
      <w:r w:rsidR="001F2574" w:rsidRPr="005F5E2F">
        <w:t xml:space="preserve">Wnikliwą analizę zakresu  pojęcia „środki techniczne” </w:t>
      </w:r>
      <w:r w:rsidR="00085B82">
        <w:t xml:space="preserve">(użytego w przepisach dotyczących kontroli operacyjnej) </w:t>
      </w:r>
      <w:r w:rsidR="001F2574" w:rsidRPr="005F5E2F">
        <w:t>na gruncie prawa policyjnego w oparciu o wykładnię językową przeprowadził TK w wyroku z dnia 30 lipca 2014 r.</w:t>
      </w:r>
      <w:r w:rsidR="001F2574" w:rsidRPr="005F5E2F">
        <w:rPr>
          <w:rStyle w:val="Odwoanieprzypisudolnego"/>
        </w:rPr>
        <w:footnoteReference w:id="11"/>
      </w:r>
      <w:r w:rsidR="001F2574" w:rsidRPr="005F5E2F">
        <w:t xml:space="preserve"> </w:t>
      </w:r>
      <w:r w:rsidR="00A2021F" w:rsidRPr="005F5E2F">
        <w:t>Zdaniem Trybunału Konstytucyjnego z</w:t>
      </w:r>
      <w:r w:rsidR="00A2021F" w:rsidRPr="005F5E2F">
        <w:rPr>
          <w:i/>
        </w:rPr>
        <w:t xml:space="preserve"> </w:t>
      </w:r>
      <w:r w:rsidR="00A2021F" w:rsidRPr="005F5E2F">
        <w:t xml:space="preserve"> wykładni językowej przepisów odnoszących się do pojęcia „środki techniczne” (TK wymienia wszystkie przepisy dotyczące kontroli operacyjnej zawarte w ustawach kompetencyjnych) wynika, że środek taki musi </w:t>
      </w:r>
      <w:r w:rsidR="00933CB0" w:rsidRPr="005F5E2F">
        <w:t>p</w:t>
      </w:r>
      <w:r w:rsidR="00A2021F" w:rsidRPr="005F5E2F">
        <w:t>o pierwsze,</w:t>
      </w:r>
      <w:r w:rsidR="00933CB0" w:rsidRPr="005F5E2F">
        <w:t xml:space="preserve"> </w:t>
      </w:r>
      <w:r w:rsidR="00A2021F" w:rsidRPr="005F5E2F">
        <w:t>mieć charakter techniczny, czyli być w jakiś sposób oparty na nowych technologiach, a po drugie – powinien pozwalać nie tylko pozyskiwać informacje, ale równocześnie je utrwalać.</w:t>
      </w:r>
      <w:r w:rsidR="00A2021F" w:rsidRPr="005F5E2F">
        <w:rPr>
          <w:rStyle w:val="Odwoanieprzypisudolnego"/>
        </w:rPr>
        <w:footnoteReference w:id="12"/>
      </w:r>
      <w:r w:rsidR="00A2021F" w:rsidRPr="005F5E2F">
        <w:rPr>
          <w:i/>
        </w:rPr>
        <w:t xml:space="preserve"> </w:t>
      </w:r>
      <w:r w:rsidR="00A2021F" w:rsidRPr="005F5E2F">
        <w:t xml:space="preserve">Ten pogląd z uwagi na jego lakoniczność </w:t>
      </w:r>
      <w:r w:rsidR="00A2021F" w:rsidRPr="005F5E2F">
        <w:rPr>
          <w:i/>
        </w:rPr>
        <w:t xml:space="preserve">prima facie </w:t>
      </w:r>
      <w:r w:rsidR="00A2021F" w:rsidRPr="005F5E2F">
        <w:t xml:space="preserve">może rodzić wrażenie, że Trybunał Konstytucyjny nie zajmuje się szerzej możliwością wykorzystania nowych technologii w stosowaniu kontroli operacyjnej. Tak lakoniczna wypowiedź Trybunału Konstytucyjnego (w tym miejscu) jest jednak uzasadniona w świetle wcześniejszych, obszernych, rozważań zawartych w </w:t>
      </w:r>
      <w:r w:rsidR="00365690" w:rsidRPr="005F5E2F">
        <w:t xml:space="preserve"> uzasadnieniu </w:t>
      </w:r>
      <w:r w:rsidR="00A2021F" w:rsidRPr="005F5E2F">
        <w:t xml:space="preserve">wyroku, które należy przytoczyć </w:t>
      </w:r>
      <w:r w:rsidR="00A2021F" w:rsidRPr="005F5E2F">
        <w:rPr>
          <w:i/>
        </w:rPr>
        <w:t>in extenso</w:t>
      </w:r>
      <w:r w:rsidR="00A2021F" w:rsidRPr="005F5E2F">
        <w:t xml:space="preserve">, aby rozwiać wszelkie wątpliwości co do stanowiska Trybunału Konstytucyjnego w tej, jak już wspomniałem, kluczowej kwestii. </w:t>
      </w:r>
    </w:p>
    <w:p w14:paraId="00926759" w14:textId="77777777" w:rsidR="004331CC" w:rsidRPr="005F5E2F" w:rsidRDefault="00A2021F" w:rsidP="005C0456">
      <w:pPr>
        <w:pStyle w:val="Default"/>
        <w:spacing w:line="360" w:lineRule="auto"/>
        <w:ind w:firstLine="708"/>
        <w:jc w:val="both"/>
      </w:pPr>
      <w:r w:rsidRPr="00B21EC8">
        <w:t>„</w:t>
      </w:r>
      <w:r w:rsidRPr="005F5E2F">
        <w:rPr>
          <w:i/>
        </w:rPr>
        <w:t>Trybunał Konstytucyjny przyjmuje, że zasygnalizowana wyżej specyfika nowych technologii i ocena zagrożeń z nimi związanych uzasadnia powierzenie wyspecjalizowanym organom władzy publicznej, jakimi są służby policyjne i służby ochrony państwa (</w:t>
      </w:r>
      <w:r w:rsidRPr="005F5E2F">
        <w:rPr>
          <w:i/>
          <w:iCs/>
        </w:rPr>
        <w:t xml:space="preserve">vide: </w:t>
      </w:r>
      <w:r w:rsidRPr="005F5E2F">
        <w:rPr>
          <w:i/>
        </w:rPr>
        <w:t xml:space="preserve">art. 103 ust. 2 Konstytucji), adekwatnych uprawnień, dzięki którym będą one w stanie zapobiegać przestępstwom i je wykrywać, ścigać ich sprawców, a także dostarczać informacji na temat zagrożeń dóbr prawnie chronionych. Demokratyczne państwo prawne nie może bowiem ignorować rosnącego znaczenia nowych technologii, a ponadto skali ich wykorzystywania, </w:t>
      </w:r>
      <w:r w:rsidRPr="005F5E2F">
        <w:rPr>
          <w:i/>
        </w:rPr>
        <w:lastRenderedPageBreak/>
        <w:t>niekiedy również w celu naruszania prawa. Wymaga to wyposażenia tych służb w stosowne uprawnienia i stworzenia im warunków finansowych i organizacyjnych, umożliwiających efektywną walkę z naruszeniami prawa. Organy władzy publicznej powinny dysponować prawną i faktyczną możliwością wykrywania popełnianych przestępstw i działalności skierowanej przeciwko państwu czy jego konstytucyjnym organom. Powinny one też móc wyprzedzać działania osób naruszających prawo, nie dopuszczając do wystąpienia zagrożeń. W warunkach globalnej przestępczości i przekraczającego granice państw terroryzmu czy przestępczości zorganizowanej istotna jest także prewencja zagrożeń, których wystąpienie może wyrządzić nieodwracalne straty dla dóbr prawnie chronionych. Zdaniem Trybunału brak wyposażenia służb policyjnych oraz służb ochrony państwa w możliwość korzystania ze zdobyczy nowoczesnej techniki, a nawet wyposażenie ich w taką możliwość, lecz w niewystarczającym zakresie, może oznaczać niewywiązanie się państwa z jego konstytucyjnego zadania strzeżenia niepodległości i nienaruszalności terytorium Rzeczypospolitej Polskiej, a także zapewnienia bezpieczeństwa obywateli (art. 5 Konstytucji), czy naruszać zasadę sprawności działania instytucji publicznych (wstęp do Konstytucji). Niekiedy może powodować naruszenie obowiązków wiążących Polskę umów międzynarodowych zobowiązujących do współdziałania w walce z międzynarodową przestępczością i terroryzmem.</w:t>
      </w:r>
      <w:r w:rsidR="00B21EC8">
        <w:t xml:space="preserve">” </w:t>
      </w:r>
      <w:r w:rsidRPr="00B21EC8">
        <w:rPr>
          <w:rStyle w:val="Odwoanieprzypisudolnego"/>
        </w:rPr>
        <w:footnoteReference w:id="13"/>
      </w:r>
      <w:r w:rsidR="00F17202" w:rsidRPr="005F5E2F">
        <w:rPr>
          <w:i/>
        </w:rPr>
        <w:t xml:space="preserve"> </w:t>
      </w:r>
      <w:r w:rsidRPr="005F5E2F">
        <w:rPr>
          <w:i/>
        </w:rPr>
        <w:t xml:space="preserve"> </w:t>
      </w:r>
      <w:r w:rsidR="0039478A" w:rsidRPr="005F5E2F">
        <w:t xml:space="preserve">Ponadto TK wskazał, że niezbędne jest sprecyzowanie sposobu niejawnego wkroczenia w sferę prywatności jednostki. Nie jest przy tym konieczne wskazanie w przepisach prawa konkretnych środków techniki operacyjnej ani tym bardziej zdefiniowanie ich parametrów. </w:t>
      </w:r>
      <w:r w:rsidR="004331CC" w:rsidRPr="005F5E2F">
        <w:t xml:space="preserve">TK wskazał natomiast, że istotne jest określenie w przepisach prawa zamkniętego katalogu rodzajowo katalogu środków i metod działania, za pomocą których władze publiczne mogą w sposób niejawny  gromadzić informacje o jednostkach, </w:t>
      </w:r>
      <w:r w:rsidR="00B21EC8">
        <w:t>Zdaniem TK n</w:t>
      </w:r>
      <w:r w:rsidR="004331CC" w:rsidRPr="005F5E2F">
        <w:t xml:space="preserve">ie chodzi o wskazanie parametrów technicznych, ale rodzajowych nazw poszczególnych </w:t>
      </w:r>
      <w:r w:rsidR="00EA7909" w:rsidRPr="005F5E2F">
        <w:t>środków</w:t>
      </w:r>
      <w:r w:rsidR="004331CC" w:rsidRPr="005F5E2F">
        <w:t xml:space="preserve"> i informacji możliwych do pozyskania za ich pomocą (np. podsłuch</w:t>
      </w:r>
      <w:r w:rsidR="00D5323C">
        <w:t xml:space="preserve"> </w:t>
      </w:r>
      <w:r w:rsidR="004331CC" w:rsidRPr="005F5E2F">
        <w:t>rozmów telefonicznych, podsłuch i podgląd pomieszczeń i osób, podsłuch techniczny środków łączności przewodowej i radiowej, nadzór elekt</w:t>
      </w:r>
      <w:r w:rsidR="002D23F6" w:rsidRPr="005F5E2F">
        <w:t>r</w:t>
      </w:r>
      <w:r w:rsidR="004331CC" w:rsidRPr="005F5E2F">
        <w:t>oniczny</w:t>
      </w:r>
      <w:r w:rsidR="002D23F6" w:rsidRPr="005F5E2F">
        <w:t xml:space="preserve"> osób, miejsc i przedmiotów oraz środków transportu, nadzór elektroniczny środków łączności przewodowej lub radiowej). </w:t>
      </w:r>
      <w:r w:rsidR="004331CC" w:rsidRPr="005F5E2F">
        <w:t xml:space="preserve">  </w:t>
      </w:r>
      <w:r w:rsidR="00B21EC8">
        <w:t xml:space="preserve">TK trafnie wskazuje, że </w:t>
      </w:r>
      <w:r w:rsidR="004331CC" w:rsidRPr="005F5E2F">
        <w:t xml:space="preserve"> </w:t>
      </w:r>
      <w:r w:rsidR="005C0456">
        <w:t>„</w:t>
      </w:r>
      <w:r w:rsidR="0039478A" w:rsidRPr="00D5323C">
        <w:rPr>
          <w:i/>
        </w:rPr>
        <w:t>Mając na uwadze ogromną liczbę środków stosowanych przez organy państwa przydatnych w pracy operacyjno-rozpoznawczej, ustawowy ich katalog musiałby być rozbudowany, a co za tym idzie norma prawna musiałaby być kazuistyczna</w:t>
      </w:r>
      <w:r w:rsidR="0039478A" w:rsidRPr="005F5E2F">
        <w:t>.</w:t>
      </w:r>
      <w:r w:rsidR="00B21EC8">
        <w:t>”</w:t>
      </w:r>
      <w:r w:rsidR="00F17202" w:rsidRPr="005F5E2F">
        <w:rPr>
          <w:rStyle w:val="Odwoanieprzypisudolnego"/>
        </w:rPr>
        <w:footnoteReference w:id="14"/>
      </w:r>
      <w:r w:rsidR="0039478A" w:rsidRPr="005F5E2F">
        <w:t xml:space="preserve"> Rozwiązanie to mogłoby kolidować z wymogiem abstrakcyjności normy prawnej. </w:t>
      </w:r>
      <w:r w:rsidR="004331CC" w:rsidRPr="005F5E2F">
        <w:t xml:space="preserve"> </w:t>
      </w:r>
    </w:p>
    <w:p w14:paraId="0B936A3F" w14:textId="77777777" w:rsidR="00E56276" w:rsidRPr="00C834EC" w:rsidRDefault="0039478A" w:rsidP="00C834EC">
      <w:pPr>
        <w:pStyle w:val="Default"/>
        <w:spacing w:line="360" w:lineRule="auto"/>
        <w:jc w:val="both"/>
      </w:pPr>
      <w:r w:rsidRPr="005F5E2F">
        <w:lastRenderedPageBreak/>
        <w:t>Jak wielokrotnie wskazywał Trybunał, również w perspektywie określoności przepisów represyjnych, przestrzeganie wymogów wynikających z zasady dostatecznej określoności prawa nie może prowadzić do kazuistyki unormowania</w:t>
      </w:r>
      <w:r w:rsidRPr="005F5E2F">
        <w:rPr>
          <w:rStyle w:val="Odwoanieprzypisudolnego"/>
        </w:rPr>
        <w:footnoteReference w:id="15"/>
      </w:r>
      <w:r w:rsidRPr="005F5E2F">
        <w:t>. Podobnie uznał TK w wyroku dotyczącym przepisów regulujących prowadzenie kontroli operacyjnej przez wywiad skarbowy</w:t>
      </w:r>
      <w:r w:rsidRPr="005F5E2F">
        <w:rPr>
          <w:rStyle w:val="Odwoanieprzypisudolnego"/>
        </w:rPr>
        <w:footnoteReference w:id="16"/>
      </w:r>
      <w:r w:rsidRPr="005F5E2F">
        <w:t xml:space="preserve">  akceptując – po spełnieniu kilku warunków – pewien stopień ogólności unormowania sposobów kontroli operacyjnej prowadzonej przez wywiad skarbowy. </w:t>
      </w:r>
      <w:r w:rsidR="00C834EC">
        <w:t xml:space="preserve">Zdaniem TK </w:t>
      </w:r>
      <w:r w:rsidR="00C834EC" w:rsidRPr="00C834EC">
        <w:t>n</w:t>
      </w:r>
      <w:r w:rsidRPr="00C834EC">
        <w:t>ależałoby mieć także na uwadze, że w dobie rozwoju technologicznego</w:t>
      </w:r>
      <w:r w:rsidR="00C834EC" w:rsidRPr="00C834EC">
        <w:t xml:space="preserve"> </w:t>
      </w:r>
      <w:r w:rsidR="00C834EC">
        <w:t>i o</w:t>
      </w:r>
      <w:r w:rsidR="00C834EC" w:rsidRPr="00F17202">
        <w:t>gromn</w:t>
      </w:r>
      <w:r w:rsidR="00C834EC">
        <w:t xml:space="preserve">ej </w:t>
      </w:r>
      <w:r w:rsidR="00C834EC" w:rsidRPr="00F17202">
        <w:t>liczb</w:t>
      </w:r>
      <w:r w:rsidR="00C834EC">
        <w:t>y</w:t>
      </w:r>
      <w:r w:rsidR="00C834EC" w:rsidRPr="00F17202">
        <w:t xml:space="preserve"> środków stosowanych przez organy państwa w pracy operacyjno-rozpoznawczej, ustawowy ich katalog musiałby być rozbudowany, a co za tym idzie norma prawna musiałaby być kazuistyczna. Rozwiązanie to mogłoby kolidować z wymogiem abstrakcyjności normy prawnej.</w:t>
      </w:r>
      <w:r w:rsidR="00C834EC">
        <w:t xml:space="preserve"> </w:t>
      </w:r>
      <w:r w:rsidR="00F17202" w:rsidRPr="00D5323C">
        <w:rPr>
          <w:rStyle w:val="Odwoanieprzypisudolnego"/>
          <w:b/>
        </w:rPr>
        <w:footnoteReference w:id="17"/>
      </w:r>
      <w:r w:rsidRPr="00D5323C">
        <w:rPr>
          <w:b/>
        </w:rPr>
        <w:t xml:space="preserve"> </w:t>
      </w:r>
    </w:p>
    <w:p w14:paraId="315FAD1C" w14:textId="77777777" w:rsidR="006D7CC9" w:rsidRPr="005F5E2F" w:rsidRDefault="00A2021F" w:rsidP="005F5E2F">
      <w:pPr>
        <w:pStyle w:val="Default"/>
        <w:spacing w:line="360" w:lineRule="auto"/>
        <w:ind w:firstLine="708"/>
        <w:jc w:val="both"/>
      </w:pPr>
      <w:r w:rsidRPr="005F5E2F">
        <w:t>Należy podzielić pogląd Trybunału Konstytucyjnego, że na państwie spoczywa obowiązek zapewnienia służbom policyjnym i służbom ochrony państwa  prawnej i faktycznej możliwości (w tym  finansowej i organizacyjnej) wykonywania ich zadań z wykorzystaniem najnowszych środków  techniki. Trybunał Konstytucyjny trafnie podnosi, że wyposażenie odpowiednich służb w te uprawnienia jeśli okaże się niewystarczające</w:t>
      </w:r>
      <w:r w:rsidR="00D5323C">
        <w:t>,</w:t>
      </w:r>
      <w:r w:rsidRPr="005F5E2F">
        <w:t xml:space="preserve"> także oznacza niewywiązanie się państwa z jego konstytucyjnego zadania strzeżenia niepodległości i nienaruszalności terytorium Rzeczypospolitej Polskiej, a także zapewnienia bezpieczeństwa obywateli.</w:t>
      </w:r>
      <w:r w:rsidR="00955E17" w:rsidRPr="005F5E2F">
        <w:t xml:space="preserve"> </w:t>
      </w:r>
    </w:p>
    <w:p w14:paraId="3E80CF52" w14:textId="77777777" w:rsidR="00A02E7F" w:rsidRPr="005F5E2F" w:rsidRDefault="00A02E7F" w:rsidP="005F5E2F">
      <w:pPr>
        <w:pStyle w:val="Default"/>
        <w:spacing w:line="360" w:lineRule="auto"/>
        <w:ind w:firstLine="708"/>
        <w:jc w:val="both"/>
      </w:pPr>
      <w:r w:rsidRPr="005F5E2F">
        <w:rPr>
          <w:rFonts w:eastAsia="Calibri"/>
          <w:lang w:eastAsia="pl-PL"/>
        </w:rPr>
        <w:t xml:space="preserve">Podstawowym zarzutem do argumentacji SA jest zastosowanie wykładni systemowej w sytuacji, gdy wykładnia językowa (której SA w odróżnieniu od TK nie zastosował)  prowadzi do jasnego i jednoznacznego rezultatu (i w zasadzie tekst nie wymaga już dalszych zabiegów interpretacyjnych). Krytycznie ocenić </w:t>
      </w:r>
      <w:r w:rsidR="00B87E12">
        <w:rPr>
          <w:rFonts w:eastAsia="Calibri"/>
          <w:lang w:eastAsia="pl-PL"/>
        </w:rPr>
        <w:t xml:space="preserve">należy </w:t>
      </w:r>
      <w:r w:rsidRPr="005F5E2F">
        <w:rPr>
          <w:rFonts w:eastAsia="Calibri"/>
          <w:lang w:eastAsia="pl-PL"/>
        </w:rPr>
        <w:t xml:space="preserve">także sposób przeprowadzenia wykładni systemowej. </w:t>
      </w:r>
      <w:r w:rsidR="00CB5D13" w:rsidRPr="005F5E2F">
        <w:t>Z</w:t>
      </w:r>
      <w:r w:rsidRPr="005F5E2F">
        <w:t xml:space="preserve">asadniczym zarzutem wobec wywodów SA co do nielegalności stosowania systemu typu </w:t>
      </w:r>
      <w:proofErr w:type="spellStart"/>
      <w:r w:rsidRPr="005F5E2F">
        <w:t>Pegasus</w:t>
      </w:r>
      <w:proofErr w:type="spellEnd"/>
      <w:r w:rsidRPr="005F5E2F">
        <w:t xml:space="preserve"> jest to, że opierają się one na  braku możliwości uzyskania przez ten system akredytacji w zakresie przetwarzania danych w trybie 48 </w:t>
      </w:r>
      <w:proofErr w:type="spellStart"/>
      <w:r w:rsidRPr="005F5E2F">
        <w:t>u.o.i.n</w:t>
      </w:r>
      <w:proofErr w:type="spellEnd"/>
      <w:r w:rsidRPr="005F5E2F">
        <w:t>. Oprócz trafnych uwag A. Lob</w:t>
      </w:r>
      <w:r w:rsidR="00B87E12">
        <w:t>y</w:t>
      </w:r>
      <w:r w:rsidRPr="005F5E2F">
        <w:t xml:space="preserve">, że ustawa ta odnosi się do innej sytuacji faktycznej niż w sprawie rozpoznawanej przez SA - trzeba zauważyć, że czynność operacyjno-rozpoznawcza określana jako kontrola </w:t>
      </w:r>
      <w:r w:rsidRPr="005F5E2F">
        <w:lastRenderedPageBreak/>
        <w:t>operacyjna (ustawa o CBA w art. 17 ust.</w:t>
      </w:r>
      <w:r w:rsidRPr="005F5E2F">
        <w:rPr>
          <w:b/>
          <w:bCs/>
        </w:rPr>
        <w:t xml:space="preserve"> </w:t>
      </w:r>
      <w:r w:rsidRPr="005F5E2F">
        <w:t xml:space="preserve">1) </w:t>
      </w:r>
      <w:r w:rsidRPr="007F5F17">
        <w:t>polega na  uzyskaniu i utrwaleniu dowodów tzw. przestępstw katalogowych</w:t>
      </w:r>
      <w:r w:rsidRPr="005F5E2F">
        <w:t xml:space="preserve">. Zgodnie z tym  przepisem (a także przepisami innych </w:t>
      </w:r>
      <w:r w:rsidR="00085B82">
        <w:t xml:space="preserve">tzw. </w:t>
      </w:r>
      <w:r w:rsidRPr="005F5E2F">
        <w:t>ustaw policyjnych) w zakres kontroli operacyjnej nie wchodzi czynność przetwarzania danych.</w:t>
      </w:r>
      <w:r w:rsidR="00CB5D13" w:rsidRPr="005F5E2F">
        <w:t xml:space="preserve"> W ustawach policyjnych uprawnienie do przetwarzania danych regulują inne przepisy niż te dotyczące kontroli operacyjnej</w:t>
      </w:r>
      <w:r w:rsidRPr="005F5E2F">
        <w:t xml:space="preserve"> </w:t>
      </w:r>
      <w:r w:rsidR="00CB5D13" w:rsidRPr="002F4756">
        <w:t xml:space="preserve"> </w:t>
      </w:r>
      <w:r w:rsidR="002F4756">
        <w:t xml:space="preserve">(np. </w:t>
      </w:r>
      <w:r w:rsidR="00CB5D13" w:rsidRPr="002F4756">
        <w:t>art.</w:t>
      </w:r>
      <w:r w:rsidR="00E26C0D" w:rsidRPr="002F4756">
        <w:t xml:space="preserve"> 18 i 18b</w:t>
      </w:r>
      <w:r w:rsidR="00CB5D13" w:rsidRPr="002F4756">
        <w:t xml:space="preserve"> ustawy o CBA</w:t>
      </w:r>
      <w:r w:rsidR="002F4756">
        <w:t>).</w:t>
      </w:r>
      <w:r w:rsidRPr="005F5E2F">
        <w:t xml:space="preserve">     </w:t>
      </w:r>
    </w:p>
    <w:p w14:paraId="6E9E4B33" w14:textId="77777777" w:rsidR="00285EF5" w:rsidRPr="005F5E2F" w:rsidRDefault="00285EF5" w:rsidP="005F5E2F">
      <w:pPr>
        <w:pStyle w:val="Default"/>
        <w:spacing w:line="360" w:lineRule="auto"/>
        <w:ind w:firstLine="708"/>
        <w:jc w:val="both"/>
      </w:pPr>
      <w:r w:rsidRPr="005F5E2F">
        <w:rPr>
          <w:rFonts w:eastAsia="Calibri"/>
          <w:iCs/>
        </w:rPr>
        <w:t>Z wywodem SA nie można się zgodzić.</w:t>
      </w:r>
      <w:r w:rsidR="00EA7909" w:rsidRPr="005F5E2F">
        <w:rPr>
          <w:rFonts w:eastAsia="Calibri"/>
          <w:iCs/>
        </w:rPr>
        <w:t xml:space="preserve"> </w:t>
      </w:r>
      <w:r w:rsidR="00EA7909" w:rsidRPr="005F5E2F">
        <w:t xml:space="preserve">Z </w:t>
      </w:r>
      <w:r w:rsidRPr="005F5E2F">
        <w:t xml:space="preserve">treści </w:t>
      </w:r>
      <w:r w:rsidR="00CB5D13" w:rsidRPr="005F5E2F">
        <w:rPr>
          <w:rFonts w:eastAsia="Calibri"/>
          <w:iCs/>
        </w:rPr>
        <w:t xml:space="preserve">art. 51 ust. 1 </w:t>
      </w:r>
      <w:proofErr w:type="spellStart"/>
      <w:r w:rsidR="00CB5D13" w:rsidRPr="005F5E2F">
        <w:rPr>
          <w:rFonts w:eastAsia="Calibri"/>
          <w:iCs/>
        </w:rPr>
        <w:t>u.o.i.n</w:t>
      </w:r>
      <w:proofErr w:type="spellEnd"/>
      <w:r w:rsidR="00CB5D13" w:rsidRPr="005F5E2F">
        <w:rPr>
          <w:rFonts w:eastAsia="Calibri"/>
          <w:iCs/>
        </w:rPr>
        <w:t>.</w:t>
      </w:r>
      <w:r w:rsidRPr="005F5E2F">
        <w:t xml:space="preserve"> wynika tylko tyle, że materiały niejawne uzyskane w trakcie wszystkich czynności operacyjno-rozpoznawczych (nie tylko kontroli operacyjnej ale także inne np. dane billingowe) przetwarzane być muszą na urządzeniach certyfikowanych. Natomiast pozyskiwanie i utrwalanie informacji w trakcie realizacji czynności operacyjno-rozpoznawczych nie wymaga certyfikowanych urządzeń, programów itp.  Materiały pozyskane przy użyciu </w:t>
      </w:r>
      <w:proofErr w:type="spellStart"/>
      <w:r w:rsidRPr="005F5E2F">
        <w:t>Pegasusa</w:t>
      </w:r>
      <w:proofErr w:type="spellEnd"/>
      <w:r w:rsidRPr="005F5E2F">
        <w:t xml:space="preserve"> uzyskane zostały leganie (</w:t>
      </w:r>
      <w:proofErr w:type="spellStart"/>
      <w:r w:rsidRPr="005F5E2F">
        <w:t>u.i.o.n</w:t>
      </w:r>
      <w:proofErr w:type="spellEnd"/>
      <w:r w:rsidRPr="005F5E2F">
        <w:t xml:space="preserve">. pozwala na pozyskiwanie danych przy użyciu niecertyfikowanej sieci telekomunikacyjnej) i legalnie przy użyciu niecertyfikowanej sieci może zostać przekazana do dalszych prac (przetwarzania na urządzeniach i programach certyfikowanych).   </w:t>
      </w:r>
    </w:p>
    <w:p w14:paraId="49B7D3EB" w14:textId="77777777" w:rsidR="00285EF5" w:rsidRPr="005F5E2F" w:rsidRDefault="00285EF5" w:rsidP="005F5E2F">
      <w:pPr>
        <w:pStyle w:val="Default"/>
        <w:spacing w:line="360" w:lineRule="auto"/>
        <w:ind w:firstLine="708"/>
        <w:jc w:val="both"/>
      </w:pPr>
      <w:r w:rsidRPr="005F5E2F">
        <w:t xml:space="preserve">Dodatkowym argumentem przemawiającym, za tym, że brak uprawnienia do przetwarzania danych na urządzeniach niecertyfikowanych  nie pozbawia służb uprawnionych służb do posługiwania się takimi urządzeniami jest treść art. 51 ust. 2 </w:t>
      </w:r>
      <w:proofErr w:type="spellStart"/>
      <w:r w:rsidRPr="005F5E2F">
        <w:t>u.o.i.n</w:t>
      </w:r>
      <w:proofErr w:type="spellEnd"/>
      <w:r w:rsidRPr="005F5E2F">
        <w:t xml:space="preserve">. Przepis ten zwalnia z obowiązku akredytacji ABW, AW, SKW </w:t>
      </w:r>
      <w:r w:rsidR="00CB5D13" w:rsidRPr="005F5E2F">
        <w:t xml:space="preserve">i SWW </w:t>
      </w:r>
      <w:r w:rsidRPr="005F5E2F">
        <w:t xml:space="preserve">także w zakresie przetwarzanie danych.  Skoro zdaniem SA brak tego uprawnienia w art. 51 ust. 1 decyduje o konieczności uzyskania akredytacji dla programu </w:t>
      </w:r>
      <w:proofErr w:type="spellStart"/>
      <w:r w:rsidRPr="005F5E2F">
        <w:t>Pegasus</w:t>
      </w:r>
      <w:proofErr w:type="spellEnd"/>
      <w:r w:rsidRPr="005F5E2F">
        <w:t>, to odnosi</w:t>
      </w:r>
      <w:r w:rsidR="00B87E12">
        <w:t>ć</w:t>
      </w:r>
      <w:r w:rsidRPr="005F5E2F">
        <w:t xml:space="preserve"> się to może tylko do pozostałych służb </w:t>
      </w:r>
      <w:r w:rsidR="00B87E12">
        <w:t xml:space="preserve">policyjnych i specjalnych </w:t>
      </w:r>
      <w:r w:rsidRPr="005F5E2F">
        <w:t>(poza ABW, AW, SKW i SWW) które mają uprawnienia do prowadzenia czynności operacyjno-rozpoznawczych.</w:t>
      </w:r>
      <w:r w:rsidR="002D60D7">
        <w:rPr>
          <w:rStyle w:val="Odwoanieprzypisudolnego"/>
        </w:rPr>
        <w:footnoteReference w:id="18"/>
      </w:r>
      <w:r w:rsidRPr="005F5E2F">
        <w:t xml:space="preserve"> Odnosząc się do treści art. 51 ust. 1 i twierdzenia, że nie zwalnia on z koniczności uzyskania akredytacji dla programów typu </w:t>
      </w:r>
      <w:proofErr w:type="spellStart"/>
      <w:r w:rsidRPr="005F5E2F">
        <w:t>Pegasus</w:t>
      </w:r>
      <w:proofErr w:type="spellEnd"/>
      <w:r w:rsidRPr="005F5E2F">
        <w:t xml:space="preserve"> - SA używa określenia „wydaje się”. Natomiast  w konkluzji rozważań w uzasadnieniu stwierdza już kategorycznie, że stosowanie takich programów (jak </w:t>
      </w:r>
      <w:proofErr w:type="spellStart"/>
      <w:r w:rsidRPr="005F5E2F">
        <w:t>Pegasus</w:t>
      </w:r>
      <w:proofErr w:type="spellEnd"/>
      <w:r w:rsidRPr="005F5E2F">
        <w:t xml:space="preserve">) jest w polskim systemie prawnym nielegalne.  Teza ta nie jest prawdziwa w świetle treści przepisów art. 51 </w:t>
      </w:r>
      <w:proofErr w:type="spellStart"/>
      <w:r w:rsidRPr="005F5E2F">
        <w:t>u.o.i.n</w:t>
      </w:r>
      <w:proofErr w:type="spellEnd"/>
      <w:r w:rsidRPr="005F5E2F">
        <w:t>. i przedstawionej powyżej argumentacji</w:t>
      </w:r>
      <w:r w:rsidR="00B87E12">
        <w:t>.</w:t>
      </w:r>
    </w:p>
    <w:p w14:paraId="2C49C9E5" w14:textId="77777777" w:rsidR="00B87E12" w:rsidRDefault="00285EF5" w:rsidP="005F5E2F">
      <w:pPr>
        <w:spacing w:line="360" w:lineRule="auto"/>
        <w:ind w:firstLine="708"/>
        <w:jc w:val="both"/>
        <w:rPr>
          <w:color w:val="000000"/>
        </w:rPr>
      </w:pPr>
      <w:r w:rsidRPr="005F5E2F">
        <w:t>Nie można się też zgodzić z poglądem SA co do tzw. „danych historycznych”, czyli danych (przedstawionych jako materiał dowodowy w sprawie) obejmujących okres poprzedzający zarządzenie kontroli (kilku miesięcy sprzed października 2018 r.). SA  pomija oczywisty fakt, że z</w:t>
      </w:r>
      <w:r w:rsidRPr="005F5E2F">
        <w:rPr>
          <w:color w:val="000000"/>
        </w:rPr>
        <w:t xml:space="preserve">godnie z polskim ustawodawstwem kontrola operacyjna prowadzona jest </w:t>
      </w:r>
      <w:r w:rsidRPr="005F5E2F">
        <w:rPr>
          <w:color w:val="000000"/>
        </w:rPr>
        <w:lastRenderedPageBreak/>
        <w:t>niejawnie i polega na: 1) uzyskiwaniu i utrwalaniu treści rozmów prowadzonych przy użyciu środków technicznych, w tym za pomocą sieci telekomunikacyjnych; 2) uzyskiwaniu i utrwalaniu obrazu lub dźwięku osób z pomieszczeń, środków transportu lub miejsc innych niż miejsca publiczne; 3) uzyskiwaniu i utrwalaniu treści korespondencji, w tym korespondencji prowadzonej za pomocą środków komunikacji elektronicznej; 4) uzyskiwaniu i utrwalaniu danych zawartych w informatycznych nośnikach danych, telekomunikacyjnych urządzeniach końcowych, systemach informatycznych i teleinformatycznych; 5) uzyskiwaniu dostępu i kontroli zawartości przesyłek</w:t>
      </w:r>
      <w:r w:rsidR="00C42AEE" w:rsidRPr="005F5E2F">
        <w:rPr>
          <w:color w:val="000000"/>
        </w:rPr>
        <w:t xml:space="preserve"> (art. 17 ust. 5 ustawy o CBA)</w:t>
      </w:r>
      <w:r w:rsidRPr="005F5E2F">
        <w:rPr>
          <w:color w:val="000000"/>
        </w:rPr>
        <w:t>.</w:t>
      </w:r>
      <w:r w:rsidR="00C42AEE" w:rsidRPr="005F5E2F">
        <w:rPr>
          <w:rStyle w:val="Odwoanieprzypisudolnego"/>
          <w:color w:val="000000"/>
        </w:rPr>
        <w:footnoteReference w:id="19"/>
      </w:r>
      <w:r w:rsidR="007E25C6">
        <w:rPr>
          <w:color w:val="000000"/>
        </w:rPr>
        <w:t xml:space="preserve"> </w:t>
      </w:r>
      <w:r w:rsidRPr="005F5E2F">
        <w:rPr>
          <w:color w:val="000000"/>
        </w:rPr>
        <w:t>Trzy pierwsze punkty istotnie ograniczają możliwość pozyskiwania danych do okresu po zarządzeniu kontroli. Natomiast dwa ostatnie punkty dotyczą danych, które w momencie zarządzenia kontroli operacyjnej już są zgromadzone w poddanych kontroli miejscach  - z istoty swojej mają więc walor historyczny. Oczywiste jest, że zawartość przesyłki została w niej umieszczona przed zarządzeniem kontroli, a nie po</w:t>
      </w:r>
      <w:r w:rsidR="00B87E12">
        <w:rPr>
          <w:color w:val="000000"/>
        </w:rPr>
        <w:t xml:space="preserve"> jej zarządzeniu.  To samo dotyczy </w:t>
      </w:r>
      <w:r w:rsidR="00B87E12" w:rsidRPr="005F5E2F">
        <w:rPr>
          <w:color w:val="000000"/>
        </w:rPr>
        <w:t>danych zawartych w informatycznych nośnikach danych, telekomunikacyjnych urządzeniach końcowych, systemach informatycznych i teleinformatycznych</w:t>
      </w:r>
      <w:r w:rsidR="002F4756">
        <w:rPr>
          <w:color w:val="000000"/>
        </w:rPr>
        <w:t>.</w:t>
      </w:r>
      <w:r w:rsidR="00026B6F">
        <w:rPr>
          <w:color w:val="000000"/>
        </w:rPr>
        <w:t xml:space="preserve">  </w:t>
      </w:r>
      <w:r w:rsidR="002F4756">
        <w:rPr>
          <w:color w:val="000000"/>
        </w:rPr>
        <w:t>T</w:t>
      </w:r>
      <w:r w:rsidR="00026B6F">
        <w:rPr>
          <w:color w:val="000000"/>
        </w:rPr>
        <w:t>en rodzaj informacji był objęty postanowieniem o zarządzeniu kontroli operacyjnej w tej sprawie</w:t>
      </w:r>
      <w:r w:rsidR="002F4756">
        <w:rPr>
          <w:color w:val="000000"/>
        </w:rPr>
        <w:t>, w związku z tym także „dane historyczne” uzyskane zostały legalnie</w:t>
      </w:r>
      <w:r w:rsidR="00B87E12">
        <w:rPr>
          <w:color w:val="000000"/>
        </w:rPr>
        <w:t xml:space="preserve">.  </w:t>
      </w:r>
    </w:p>
    <w:p w14:paraId="25D322C5" w14:textId="77777777" w:rsidR="00EA7909" w:rsidRPr="005F5E2F" w:rsidRDefault="00285EF5" w:rsidP="005F5E2F">
      <w:pPr>
        <w:spacing w:line="360" w:lineRule="auto"/>
        <w:ind w:firstLine="708"/>
        <w:jc w:val="both"/>
        <w:rPr>
          <w:rFonts w:eastAsia="Calibri"/>
          <w:iCs/>
          <w:color w:val="000000"/>
        </w:rPr>
      </w:pPr>
      <w:r w:rsidRPr="005F5E2F">
        <w:rPr>
          <w:color w:val="000000"/>
        </w:rPr>
        <w:t xml:space="preserve"> Do zagadnienia tego SA odnosi się </w:t>
      </w:r>
      <w:r w:rsidR="00026B6F">
        <w:rPr>
          <w:color w:val="000000"/>
        </w:rPr>
        <w:t xml:space="preserve">- </w:t>
      </w:r>
      <w:r w:rsidRPr="005F5E2F">
        <w:rPr>
          <w:color w:val="000000"/>
        </w:rPr>
        <w:t xml:space="preserve"> stawiając  pytanie </w:t>
      </w:r>
      <w:r w:rsidRPr="005F5E2F">
        <w:rPr>
          <w:rFonts w:eastAsia="Calibri"/>
          <w:iCs/>
          <w:color w:val="000000"/>
        </w:rPr>
        <w:t xml:space="preserve">czy zmiana art. 17 ust. </w:t>
      </w:r>
      <w:r w:rsidR="00C42AEE" w:rsidRPr="005F5E2F">
        <w:rPr>
          <w:rFonts w:eastAsia="Calibri"/>
          <w:iCs/>
          <w:color w:val="000000"/>
        </w:rPr>
        <w:t>5</w:t>
      </w:r>
      <w:r w:rsidR="00026B6F">
        <w:rPr>
          <w:rFonts w:eastAsia="Calibri"/>
          <w:iCs/>
          <w:color w:val="000000"/>
        </w:rPr>
        <w:t xml:space="preserve"> </w:t>
      </w:r>
      <w:r w:rsidR="00C42AEE" w:rsidRPr="005F5E2F">
        <w:rPr>
          <w:rFonts w:eastAsia="Calibri"/>
          <w:iCs/>
          <w:color w:val="000000"/>
        </w:rPr>
        <w:t xml:space="preserve"> </w:t>
      </w:r>
      <w:r w:rsidRPr="005F5E2F">
        <w:rPr>
          <w:rFonts w:eastAsia="Calibri"/>
          <w:iCs/>
          <w:color w:val="000000"/>
        </w:rPr>
        <w:t xml:space="preserve">ustawy o CBA dokonana w 2016 roku rzeczywiście odpowiada głównym tezom wyroku Trybunału, czy też paradoksalnie nie poszła dużo dalej, otwierając drogę do nieograniczonej inwigilacji. </w:t>
      </w:r>
      <w:r w:rsidR="00CF4D0E">
        <w:rPr>
          <w:rFonts w:eastAsia="Calibri"/>
          <w:iCs/>
          <w:color w:val="000000"/>
        </w:rPr>
        <w:t xml:space="preserve"> Zdaniem SA o</w:t>
      </w:r>
      <w:r w:rsidRPr="005F5E2F">
        <w:rPr>
          <w:rFonts w:eastAsia="Calibri"/>
          <w:iCs/>
          <w:color w:val="000000"/>
        </w:rPr>
        <w:t>dpowiedź na to pytanie nie jest możliwa bez odczytania treści tego przepisu, jego punktu 4, w kontekście standardów konwencyjnych i konstytucyjnych wypracowanych na gruncie art. 8 Europejskiej Konwencji oraz art. 47 i 49 Konstytucji. Te zaś, zdaniem Sądu Apelacyjnego, nie pozwalają uznać za dopuszczalne stosowani</w:t>
      </w:r>
      <w:r w:rsidR="00D5323C">
        <w:rPr>
          <w:rFonts w:eastAsia="Calibri"/>
          <w:iCs/>
          <w:color w:val="000000"/>
        </w:rPr>
        <w:t>a</w:t>
      </w:r>
      <w:r w:rsidRPr="005F5E2F">
        <w:rPr>
          <w:rFonts w:eastAsia="Calibri"/>
          <w:iCs/>
          <w:color w:val="000000"/>
        </w:rPr>
        <w:t xml:space="preserve"> przez służby takich środków kontroli operacyjnej, które wiążą się z omijaniem i przełamaniem zabezpieczeń urządzeń mobilnych oraz uzyskiwaniem w ten sposób dostępu do szerokiego spektrum danych, w tym historycznych, wykraczających poza ramy czasowe zarządzonej kontroli operacyjnej.</w:t>
      </w:r>
    </w:p>
    <w:p w14:paraId="2FE9AB78" w14:textId="77777777" w:rsidR="00285EF5" w:rsidRPr="005F5E2F" w:rsidRDefault="00285EF5" w:rsidP="00026B6F">
      <w:pPr>
        <w:autoSpaceDE w:val="0"/>
        <w:autoSpaceDN w:val="0"/>
        <w:adjustRightInd w:val="0"/>
        <w:spacing w:line="360" w:lineRule="auto"/>
        <w:ind w:firstLine="708"/>
        <w:jc w:val="both"/>
        <w:rPr>
          <w:rFonts w:eastAsiaTheme="minorHAnsi"/>
          <w:lang w:eastAsia="en-US"/>
        </w:rPr>
      </w:pPr>
      <w:r w:rsidRPr="005F5E2F">
        <w:rPr>
          <w:rFonts w:eastAsia="Calibri"/>
          <w:iCs/>
          <w:color w:val="000000"/>
        </w:rPr>
        <w:t xml:space="preserve">W tym krótkim fragmencie uzasadnienia SA wyraźnie przekracza kompetencje władzy sędziowskiej. Nie jest rolą sądu ocena czy ustawodawca w procesie legislacyjnym wypełnił zalecenia zawarte w wyroku TK, a tym bardziej nie jest uprawniony do stwierdzenia, że określony przepis ustawy nie spełnia standardów konstytucyjnych i w związku z tym sąd nie jest nim związany. W polskim systemie prawnym rolą sądów powszechnych jest stosowanie </w:t>
      </w:r>
      <w:r w:rsidRPr="005F5E2F">
        <w:rPr>
          <w:rFonts w:eastAsia="Calibri"/>
          <w:iCs/>
          <w:color w:val="000000"/>
        </w:rPr>
        <w:lastRenderedPageBreak/>
        <w:t xml:space="preserve">prawa, a nie rozstrzyganie, które przepisy ustawy obowiązują, a które nie. </w:t>
      </w:r>
      <w:r w:rsidR="00EA7909" w:rsidRPr="005F5E2F">
        <w:rPr>
          <w:rFonts w:eastAsia="Calibri"/>
          <w:iCs/>
          <w:color w:val="000000"/>
        </w:rPr>
        <w:t xml:space="preserve">Ponadto wbrew temu co twierdzi SA w cytowanym wyroku TK z 2014 r. możemy </w:t>
      </w:r>
      <w:r w:rsidR="00C42AEE" w:rsidRPr="005F5E2F">
        <w:rPr>
          <w:rFonts w:eastAsia="Calibri"/>
          <w:iCs/>
          <w:color w:val="000000"/>
        </w:rPr>
        <w:t xml:space="preserve">wskazać </w:t>
      </w:r>
      <w:r w:rsidR="00EA7909" w:rsidRPr="005F5E2F">
        <w:rPr>
          <w:rFonts w:eastAsia="Calibri"/>
          <w:iCs/>
          <w:color w:val="000000"/>
        </w:rPr>
        <w:t xml:space="preserve">podstawę do takiej regulacji prawnej. TK </w:t>
      </w:r>
      <w:r w:rsidR="00EA7909" w:rsidRPr="005F5E2F">
        <w:t xml:space="preserve">uważa, że ustawy policyjne powinny zawierać wskazanie rodzajowych nazw poszczególnych środków technicznych i informacji możliwych do pozyskania za ich pomocą (np. podsłuch  rozmów telefonicznych, podsłuch i podgląd pomieszczeń i osób, itd.). Kwestionowany przez SA przepis art. 17 </w:t>
      </w:r>
      <w:r w:rsidR="000949A3" w:rsidRPr="005F5E2F">
        <w:t xml:space="preserve">ust. </w:t>
      </w:r>
      <w:r w:rsidR="00C42AEE" w:rsidRPr="005F5E2F">
        <w:t>5</w:t>
      </w:r>
      <w:r w:rsidR="000949A3" w:rsidRPr="005F5E2F">
        <w:t xml:space="preserve"> pkt 1 – 5 </w:t>
      </w:r>
      <w:r w:rsidR="00EA7909" w:rsidRPr="005F5E2F">
        <w:t xml:space="preserve">ustawy o CBA zawiera </w:t>
      </w:r>
      <w:r w:rsidR="000949A3" w:rsidRPr="005F5E2F">
        <w:t xml:space="preserve">zamknięty katalog </w:t>
      </w:r>
      <w:r w:rsidR="00EA7909" w:rsidRPr="005F5E2F">
        <w:t xml:space="preserve"> rodzajów informacji</w:t>
      </w:r>
      <w:r w:rsidR="004B1F29" w:rsidRPr="005F5E2F">
        <w:t xml:space="preserve"> możliwych do uzyskania w wyniku stosowania kontroli operacyjnej. </w:t>
      </w:r>
      <w:r w:rsidR="007D5685" w:rsidRPr="005F5E2F">
        <w:t xml:space="preserve">Oczywistym jest, że uzyskanie w sposób niejawny określonego rodzaju informacji będzie wymagało zastosowanie odpowiedniego środka technicznego. Na przykład inny środek będzie zastosowany dla uzyskania treści rozmowy telefonicznej, inny do uzyskania i utrwalenia obrazu, inny </w:t>
      </w:r>
      <w:r w:rsidR="000949A3" w:rsidRPr="005F5E2F">
        <w:t>do uzyskania i utrwalenia</w:t>
      </w:r>
      <w:r w:rsidR="007D5685" w:rsidRPr="005F5E2F">
        <w:t xml:space="preserve"> dźwięku, a jeszcze inny do  rejestracji obrazu i dźwięku. Także </w:t>
      </w:r>
      <w:r w:rsidR="000949A3" w:rsidRPr="005F5E2F">
        <w:t xml:space="preserve">zupełnie </w:t>
      </w:r>
      <w:r w:rsidR="007D5685" w:rsidRPr="005F5E2F">
        <w:t xml:space="preserve">inny środek będzie zastosowany do </w:t>
      </w:r>
      <w:r w:rsidR="000949A3" w:rsidRPr="005F5E2F">
        <w:t xml:space="preserve">tajnego przeszukania bagażu. Do </w:t>
      </w:r>
      <w:r w:rsidR="000949A3" w:rsidRPr="005F5E2F">
        <w:rPr>
          <w:color w:val="000000"/>
        </w:rPr>
        <w:t xml:space="preserve">uzyskiwania i utrwalania danych zawartych w informatycznych nośnikach danych, telekomunikacyjnych urządzeniach końcowych, systemach informatycznych i teleinformatycznych (art. 17 </w:t>
      </w:r>
      <w:r w:rsidR="00C42AEE" w:rsidRPr="005F5E2F">
        <w:rPr>
          <w:color w:val="000000"/>
        </w:rPr>
        <w:t xml:space="preserve">ust. 5 </w:t>
      </w:r>
      <w:r w:rsidR="000949A3" w:rsidRPr="005F5E2F">
        <w:rPr>
          <w:color w:val="000000"/>
        </w:rPr>
        <w:t xml:space="preserve">pkt 4 ustawy o CBA) służą właśnie programy komputerowe takie jak </w:t>
      </w:r>
      <w:proofErr w:type="spellStart"/>
      <w:r w:rsidR="000949A3" w:rsidRPr="005F5E2F">
        <w:rPr>
          <w:color w:val="000000"/>
        </w:rPr>
        <w:t>Pegasus</w:t>
      </w:r>
      <w:proofErr w:type="spellEnd"/>
      <w:r w:rsidR="000949A3" w:rsidRPr="005F5E2F">
        <w:rPr>
          <w:color w:val="000000"/>
        </w:rPr>
        <w:t>.</w:t>
      </w:r>
      <w:r w:rsidR="005F5E2F" w:rsidRPr="005F5E2F">
        <w:rPr>
          <w:color w:val="000000"/>
        </w:rPr>
        <w:t xml:space="preserve"> </w:t>
      </w:r>
      <w:r w:rsidR="005F5E2F">
        <w:rPr>
          <w:color w:val="000000"/>
        </w:rPr>
        <w:t>SA stwierdza</w:t>
      </w:r>
      <w:r w:rsidR="005F5E2F" w:rsidRPr="005F5E2F">
        <w:rPr>
          <w:color w:val="000000"/>
        </w:rPr>
        <w:t xml:space="preserve">, </w:t>
      </w:r>
      <w:r w:rsidR="005F5E2F" w:rsidRPr="00D5323C">
        <w:rPr>
          <w:i/>
          <w:color w:val="000000"/>
        </w:rPr>
        <w:t>że „</w:t>
      </w:r>
      <w:r w:rsidR="005F5E2F" w:rsidRPr="00D5323C">
        <w:rPr>
          <w:rFonts w:eastAsiaTheme="minorHAnsi"/>
          <w:i/>
          <w:lang w:eastAsia="en-US"/>
        </w:rPr>
        <w:t>w czasie, gdy przepis ten był nowelizowany, gdy ten dodatkowy środek czy metoda kontroli operacyjnej wprowadzane były do ustawy o CBA</w:t>
      </w:r>
      <w:r w:rsidR="005F5E2F">
        <w:rPr>
          <w:rFonts w:eastAsiaTheme="minorHAnsi"/>
          <w:lang w:eastAsia="en-US"/>
        </w:rPr>
        <w:t xml:space="preserve"> </w:t>
      </w:r>
      <w:r w:rsidR="005F5E2F" w:rsidRPr="005F5E2F">
        <w:rPr>
          <w:color w:val="000000"/>
        </w:rPr>
        <w:t>(art. 17 ust. 5 pkt 4 ustawy o CBA</w:t>
      </w:r>
      <w:r w:rsidR="005F5E2F">
        <w:rPr>
          <w:color w:val="000000"/>
        </w:rPr>
        <w:t xml:space="preserve"> – przyp. AT</w:t>
      </w:r>
      <w:r w:rsidR="005F5E2F" w:rsidRPr="000A279C">
        <w:rPr>
          <w:i/>
          <w:color w:val="000000"/>
        </w:rPr>
        <w:t>)</w:t>
      </w:r>
      <w:r w:rsidR="005F5E2F" w:rsidRPr="000A279C">
        <w:rPr>
          <w:rFonts w:eastAsiaTheme="minorHAnsi"/>
          <w:i/>
          <w:lang w:eastAsia="en-US"/>
        </w:rPr>
        <w:t>, w przestrzeni publicznej nie było jeszcze informacji o oprogramowaniu szpiegującym (...) oraz o możliwościach, jakie ono daje. Informacje takie po raz pierwszy pojawiły się dużo później”.</w:t>
      </w:r>
      <w:r w:rsidR="005F5E2F">
        <w:rPr>
          <w:rFonts w:eastAsiaTheme="minorHAnsi"/>
          <w:lang w:eastAsia="en-US"/>
        </w:rPr>
        <w:t xml:space="preserve"> </w:t>
      </w:r>
      <w:r w:rsidR="00DF49B5">
        <w:rPr>
          <w:rFonts w:eastAsiaTheme="minorHAnsi"/>
          <w:lang w:eastAsia="en-US"/>
        </w:rPr>
        <w:t xml:space="preserve"> SA podnosi wątpliwość, czy ustawodawca istotnie chciał w istocie wprowadzić do ustawy o CBA tego rodzaju możliwość uzyskiwania informacji w drodze kontroli operacyjnej.  </w:t>
      </w:r>
      <w:r w:rsidR="005F5E2F">
        <w:rPr>
          <w:rFonts w:eastAsiaTheme="minorHAnsi"/>
          <w:lang w:eastAsia="en-US"/>
        </w:rPr>
        <w:t xml:space="preserve">Argument ten nie zasługuje na aprobatę, fakt, że w opinii publicznej nie było powszechnej wiedzy na temat </w:t>
      </w:r>
      <w:r w:rsidR="00CF4D0E">
        <w:rPr>
          <w:rFonts w:eastAsiaTheme="minorHAnsi"/>
          <w:lang w:eastAsia="en-US"/>
        </w:rPr>
        <w:t xml:space="preserve">aspektów technicznych jakiejś metody czy środka technicznego przewidzianego w ustawie </w:t>
      </w:r>
      <w:proofErr w:type="spellStart"/>
      <w:r w:rsidR="00CF4D0E">
        <w:rPr>
          <w:rFonts w:eastAsiaTheme="minorHAnsi"/>
          <w:lang w:eastAsia="en-US"/>
        </w:rPr>
        <w:t>nje</w:t>
      </w:r>
      <w:proofErr w:type="spellEnd"/>
      <w:r w:rsidR="00CF4D0E">
        <w:rPr>
          <w:rFonts w:eastAsiaTheme="minorHAnsi"/>
          <w:lang w:eastAsia="en-US"/>
        </w:rPr>
        <w:t xml:space="preserve"> ma  wpływu na obowiązywanie, czy też nie określonego przepisu. Dopuszczenie takiej możliwości wprowadziłoby zupełny chaos prawny.</w:t>
      </w:r>
    </w:p>
    <w:p w14:paraId="3263F482" w14:textId="77777777" w:rsidR="0000181F" w:rsidRDefault="00285EF5" w:rsidP="005C0456">
      <w:pPr>
        <w:spacing w:line="360" w:lineRule="auto"/>
        <w:ind w:firstLine="708"/>
        <w:jc w:val="both"/>
        <w:rPr>
          <w:rFonts w:eastAsia="Calibri"/>
          <w:iCs/>
          <w:color w:val="000000"/>
        </w:rPr>
      </w:pPr>
      <w:r w:rsidRPr="005F5E2F">
        <w:rPr>
          <w:rFonts w:eastAsia="Calibri"/>
          <w:iCs/>
          <w:color w:val="000000"/>
        </w:rPr>
        <w:t>Konkludując należy stwierdzić, że SA uznając, że kontrola operacyjna zastosowana przy użyciu programu typu „</w:t>
      </w:r>
      <w:proofErr w:type="spellStart"/>
      <w:r w:rsidRPr="005F5E2F">
        <w:rPr>
          <w:rFonts w:eastAsia="Calibri"/>
          <w:iCs/>
          <w:color w:val="000000"/>
        </w:rPr>
        <w:t>Pegasus</w:t>
      </w:r>
      <w:proofErr w:type="spellEnd"/>
      <w:r w:rsidRPr="005F5E2F">
        <w:rPr>
          <w:rFonts w:eastAsia="Calibri"/>
          <w:iCs/>
          <w:color w:val="000000"/>
        </w:rPr>
        <w:t>” jest nielegalna nie posłużył się argumentami wynikającymi z treści  art.</w:t>
      </w:r>
      <w:r w:rsidR="00CF4D0E">
        <w:rPr>
          <w:rFonts w:eastAsia="Calibri"/>
          <w:iCs/>
          <w:color w:val="000000"/>
        </w:rPr>
        <w:t xml:space="preserve"> </w:t>
      </w:r>
      <w:r w:rsidRPr="005F5E2F">
        <w:rPr>
          <w:rFonts w:eastAsia="Calibri"/>
          <w:iCs/>
          <w:color w:val="000000"/>
        </w:rPr>
        <w:t xml:space="preserve">17 ust. </w:t>
      </w:r>
      <w:r w:rsidR="00C42AEE" w:rsidRPr="005F5E2F">
        <w:rPr>
          <w:rFonts w:eastAsia="Calibri"/>
          <w:iCs/>
          <w:color w:val="000000"/>
        </w:rPr>
        <w:t>5 pkt 4</w:t>
      </w:r>
      <w:r w:rsidR="00F17202" w:rsidRPr="005F5E2F">
        <w:rPr>
          <w:rFonts w:eastAsia="Calibri"/>
          <w:iCs/>
          <w:color w:val="000000"/>
        </w:rPr>
        <w:t xml:space="preserve"> ustawy o CBA</w:t>
      </w:r>
      <w:r w:rsidR="002D60D7">
        <w:rPr>
          <w:rFonts w:eastAsia="Calibri"/>
          <w:iCs/>
          <w:color w:val="000000"/>
        </w:rPr>
        <w:t xml:space="preserve">, a </w:t>
      </w:r>
      <w:r w:rsidR="00DF49B5">
        <w:rPr>
          <w:rFonts w:eastAsia="Calibri"/>
          <w:iCs/>
          <w:color w:val="000000"/>
        </w:rPr>
        <w:t>raczej skoncentrował się na wykazaniu, że przepis ten nie spełnia standardów konstytucyjnych</w:t>
      </w:r>
      <w:r w:rsidR="002D60D7">
        <w:rPr>
          <w:rFonts w:eastAsia="Calibri"/>
          <w:iCs/>
          <w:color w:val="000000"/>
        </w:rPr>
        <w:t xml:space="preserve">. Tezę swą </w:t>
      </w:r>
      <w:r w:rsidR="007F5F17">
        <w:rPr>
          <w:rFonts w:eastAsia="Calibri"/>
          <w:iCs/>
          <w:color w:val="000000"/>
        </w:rPr>
        <w:t xml:space="preserve">uzasadniał </w:t>
      </w:r>
      <w:r w:rsidR="002D60D7">
        <w:rPr>
          <w:rFonts w:eastAsia="Calibri"/>
          <w:iCs/>
          <w:color w:val="000000"/>
        </w:rPr>
        <w:t xml:space="preserve"> stosując w sposób wadliwy </w:t>
      </w:r>
      <w:r w:rsidRPr="005F5E2F">
        <w:rPr>
          <w:rFonts w:eastAsia="Calibri"/>
          <w:iCs/>
          <w:color w:val="000000"/>
        </w:rPr>
        <w:t xml:space="preserve"> </w:t>
      </w:r>
      <w:r w:rsidR="002D60D7">
        <w:rPr>
          <w:rFonts w:eastAsia="Calibri"/>
          <w:iCs/>
          <w:color w:val="000000"/>
        </w:rPr>
        <w:t>wykładnie systemową w oparciu o przepisy</w:t>
      </w:r>
      <w:r w:rsidRPr="005F5E2F">
        <w:rPr>
          <w:rFonts w:eastAsia="Calibri"/>
          <w:iCs/>
          <w:color w:val="000000"/>
        </w:rPr>
        <w:t xml:space="preserve"> innych ustaw, które nie odnoszą się do kontroli operacyjnej (więc nie  </w:t>
      </w:r>
      <w:bookmarkStart w:id="2" w:name="_Hlk195353928"/>
      <w:bookmarkEnd w:id="0"/>
      <w:r w:rsidRPr="005F5E2F">
        <w:rPr>
          <w:rFonts w:eastAsia="Calibri"/>
          <w:iCs/>
          <w:color w:val="000000"/>
        </w:rPr>
        <w:t xml:space="preserve">mają zastosowania w tej sprawie). </w:t>
      </w:r>
      <w:r w:rsidR="007F5F17">
        <w:rPr>
          <w:rFonts w:eastAsia="Calibri"/>
          <w:iCs/>
          <w:color w:val="000000"/>
        </w:rPr>
        <w:t>C</w:t>
      </w:r>
      <w:r w:rsidR="002D60D7">
        <w:rPr>
          <w:rFonts w:eastAsia="Calibri"/>
          <w:iCs/>
          <w:color w:val="000000"/>
        </w:rPr>
        <w:t>zynnoś</w:t>
      </w:r>
      <w:r w:rsidR="007F5F17">
        <w:rPr>
          <w:rFonts w:eastAsia="Calibri"/>
          <w:iCs/>
          <w:color w:val="000000"/>
        </w:rPr>
        <w:t>ć rozpoznawczo-operacyjna określana jako</w:t>
      </w:r>
      <w:r w:rsidR="002D60D7">
        <w:rPr>
          <w:rFonts w:eastAsia="Calibri"/>
          <w:iCs/>
          <w:color w:val="000000"/>
        </w:rPr>
        <w:t xml:space="preserve"> kontrola operacyjn</w:t>
      </w:r>
      <w:r w:rsidR="000A279C">
        <w:rPr>
          <w:rFonts w:eastAsia="Calibri"/>
          <w:iCs/>
          <w:color w:val="000000"/>
        </w:rPr>
        <w:t>a,</w:t>
      </w:r>
      <w:r w:rsidR="007F5F17">
        <w:rPr>
          <w:rFonts w:eastAsia="Calibri"/>
          <w:iCs/>
          <w:color w:val="000000"/>
        </w:rPr>
        <w:t xml:space="preserve"> </w:t>
      </w:r>
      <w:r w:rsidR="007F5F17" w:rsidRPr="007F5F17">
        <w:t>polega na uzyskaniu i utrwaleniu dowodów tzw. przestępstw katalogowych</w:t>
      </w:r>
      <w:r w:rsidR="007F5F17">
        <w:t xml:space="preserve"> </w:t>
      </w:r>
      <w:r w:rsidR="007F5F17">
        <w:rPr>
          <w:rFonts w:eastAsia="Calibri"/>
          <w:iCs/>
          <w:color w:val="000000"/>
        </w:rPr>
        <w:t xml:space="preserve">a nie na przetwarzaniu danych. W związku z tym wykazywanie przez SA, że program o cechach </w:t>
      </w:r>
      <w:proofErr w:type="spellStart"/>
      <w:r w:rsidR="007F5F17">
        <w:rPr>
          <w:rFonts w:eastAsia="Calibri"/>
          <w:iCs/>
          <w:color w:val="000000"/>
        </w:rPr>
        <w:t>Pegasusa</w:t>
      </w:r>
      <w:proofErr w:type="spellEnd"/>
      <w:r w:rsidR="007F5F17">
        <w:rPr>
          <w:rFonts w:eastAsia="Calibri"/>
          <w:iCs/>
          <w:color w:val="000000"/>
        </w:rPr>
        <w:t xml:space="preserve"> nie uzyskałby </w:t>
      </w:r>
      <w:r w:rsidR="007F5F17">
        <w:rPr>
          <w:rFonts w:eastAsia="Calibri"/>
          <w:iCs/>
          <w:color w:val="000000"/>
        </w:rPr>
        <w:lastRenderedPageBreak/>
        <w:t xml:space="preserve">akredytacji (i w związku z tym nie mógł być legalnie zastosowany w ramach kontroli operacyjnej) jest zabiegiem zupełnie chybionym. </w:t>
      </w:r>
      <w:r w:rsidRPr="005F5E2F">
        <w:rPr>
          <w:rFonts w:eastAsia="Calibri"/>
          <w:iCs/>
          <w:color w:val="000000"/>
        </w:rPr>
        <w:t>Należy przypomnieć, że ustawodawstwo policyjne nie zawiera przepisów ograniczających zakres pojęcia „środki techniczne”.</w:t>
      </w:r>
      <w:bookmarkEnd w:id="2"/>
    </w:p>
    <w:p w14:paraId="79190C07" w14:textId="64FE19B1" w:rsidR="00F24DD2" w:rsidRDefault="00F24DD2" w:rsidP="00746224">
      <w:pPr>
        <w:spacing w:line="360" w:lineRule="auto"/>
        <w:ind w:firstLine="708"/>
        <w:jc w:val="both"/>
      </w:pPr>
    </w:p>
    <w:p w14:paraId="032C89D3" w14:textId="276B18EE" w:rsidR="00827059" w:rsidRDefault="00827059" w:rsidP="00827059">
      <w:r w:rsidRPr="00827059">
        <w:t>Bibliografia</w:t>
      </w:r>
    </w:p>
    <w:p w14:paraId="52A82B4A" w14:textId="1891A501" w:rsidR="00827059" w:rsidRDefault="00827059" w:rsidP="00827059"/>
    <w:p w14:paraId="2673D927" w14:textId="356F0F2C" w:rsidR="00827059" w:rsidRDefault="00827059" w:rsidP="00827059">
      <w:r>
        <w:t>Literatura</w:t>
      </w:r>
    </w:p>
    <w:p w14:paraId="00A5CB5A" w14:textId="77777777" w:rsidR="00827059" w:rsidRPr="00827059" w:rsidRDefault="00827059" w:rsidP="00827059"/>
    <w:p w14:paraId="34ED5AB8" w14:textId="77777777" w:rsidR="00827059" w:rsidRDefault="00827059" w:rsidP="00827059">
      <w:r w:rsidRPr="00827059">
        <w:t>Barczak-</w:t>
      </w:r>
      <w:proofErr w:type="spellStart"/>
      <w:r w:rsidRPr="00827059">
        <w:t>Oplustil</w:t>
      </w:r>
      <w:proofErr w:type="spellEnd"/>
      <w:r w:rsidRPr="00827059">
        <w:t xml:space="preserve"> A., Małecki M., </w:t>
      </w:r>
      <w:proofErr w:type="spellStart"/>
      <w:r w:rsidRPr="00827059">
        <w:t>Tarapata</w:t>
      </w:r>
      <w:proofErr w:type="spellEnd"/>
      <w:r w:rsidRPr="00827059">
        <w:t xml:space="preserve"> S.,</w:t>
      </w:r>
      <w:proofErr w:type="spellStart"/>
      <w:r w:rsidRPr="00827059">
        <w:t>Behan</w:t>
      </w:r>
      <w:proofErr w:type="spellEnd"/>
      <w:r w:rsidRPr="00827059">
        <w:t xml:space="preserve"> A., Zontek W.: Dopuszczalność nabycia i używania w ramach kontroli operacyjnej określonego typu programów komputerowych (casus </w:t>
      </w:r>
      <w:proofErr w:type="spellStart"/>
      <w:r w:rsidRPr="00827059">
        <w:t>Pegasusa</w:t>
      </w:r>
      <w:proofErr w:type="spellEnd"/>
      <w:r w:rsidRPr="00827059">
        <w:t>) Kraków, 15.02.2022r.</w:t>
      </w:r>
      <w:r w:rsidRPr="00827059">
        <w:br/>
      </w:r>
    </w:p>
    <w:p w14:paraId="5537201E" w14:textId="651848F3" w:rsidR="00827059" w:rsidRPr="00827059" w:rsidRDefault="00827059" w:rsidP="00827059">
      <w:r w:rsidRPr="00827059">
        <w:t>Morawski L., Zasady wykładni prawa, Toruń 2006</w:t>
      </w:r>
      <w:r w:rsidRPr="00827059">
        <w:br/>
      </w:r>
      <w:r w:rsidRPr="00827059">
        <w:br/>
        <w:t>Orzecznictwo</w:t>
      </w:r>
    </w:p>
    <w:p w14:paraId="4FB1BE8C" w14:textId="77777777" w:rsidR="00827059" w:rsidRPr="00827059" w:rsidRDefault="00827059" w:rsidP="00827059">
      <w:r w:rsidRPr="00827059">
        <w:t xml:space="preserve">Wyrok Trybunału Konstytucyjnego z 30 lipca 2014 r., </w:t>
      </w:r>
      <w:proofErr w:type="spellStart"/>
      <w:r w:rsidRPr="00827059">
        <w:t>sygn.akt</w:t>
      </w:r>
      <w:proofErr w:type="spellEnd"/>
      <w:r w:rsidRPr="00827059">
        <w:t xml:space="preserve"> K 23/11</w:t>
      </w:r>
    </w:p>
    <w:p w14:paraId="1D06C2C7" w14:textId="276B029E" w:rsidR="00827059" w:rsidRPr="00827059" w:rsidRDefault="00827059" w:rsidP="00827059"/>
    <w:p w14:paraId="4F503553" w14:textId="7C0A6B40" w:rsidR="00827059" w:rsidRPr="00827059" w:rsidRDefault="00827059" w:rsidP="00827059">
      <w:r w:rsidRPr="00827059">
        <w:t>Akty prawne</w:t>
      </w:r>
    </w:p>
    <w:p w14:paraId="14D94D64" w14:textId="7E9D265C" w:rsidR="00827059" w:rsidRDefault="00827059" w:rsidP="00827059"/>
    <w:p w14:paraId="6422CA3C" w14:textId="1D5CDED1" w:rsidR="00672B8B" w:rsidRDefault="00672B8B" w:rsidP="00672B8B">
      <w:r w:rsidRPr="005F5E2F">
        <w:t>U</w:t>
      </w:r>
      <w:r w:rsidRPr="005F5E2F">
        <w:t>staw</w:t>
      </w:r>
      <w:r>
        <w:t xml:space="preserve">a </w:t>
      </w:r>
      <w:r w:rsidRPr="005F5E2F">
        <w:t>z dnia 5 sierpnia 2010 r. o ochronie informacji niejawnych</w:t>
      </w:r>
      <w:bookmarkStart w:id="3" w:name="_GoBack"/>
      <w:bookmarkEnd w:id="3"/>
    </w:p>
    <w:p w14:paraId="0217B25D" w14:textId="45886A25" w:rsidR="00672B8B" w:rsidRDefault="00672B8B" w:rsidP="00672B8B">
      <w:r>
        <w:t>R</w:t>
      </w:r>
      <w:r w:rsidRPr="005F5E2F">
        <w:t>oz</w:t>
      </w:r>
      <w:r w:rsidRPr="005F5E2F">
        <w:softHyphen/>
        <w:t>porządzeni</w:t>
      </w:r>
      <w:r>
        <w:t>e</w:t>
      </w:r>
      <w:r w:rsidRPr="005F5E2F">
        <w:t xml:space="preserve"> Prezesa Rady Ministrów z dnia 20 lipca 2011 r. w sprawie podstawowych wymagań bezpieczeństwa teleinformatycznego</w:t>
      </w:r>
    </w:p>
    <w:p w14:paraId="6DD5900E" w14:textId="77777777" w:rsidR="00672B8B" w:rsidRPr="00827059" w:rsidRDefault="00672B8B" w:rsidP="00827059"/>
    <w:p w14:paraId="502C12B0" w14:textId="6D2B96B5" w:rsidR="00827059" w:rsidRPr="00827059" w:rsidRDefault="00827059" w:rsidP="00827059">
      <w:r w:rsidRPr="00827059">
        <w:t>Inne</w:t>
      </w:r>
    </w:p>
    <w:p w14:paraId="141FDEB1" w14:textId="6DA6C2E7" w:rsidR="00827059" w:rsidRDefault="00827059" w:rsidP="00827059">
      <w:r w:rsidRPr="00827059">
        <w:t>Raport końcowy Komisji Nadzwyczajnej do spraw wyjaśnienia przypadków nielegalnej inwigilacji, ich wpływu na proces wyborczy w Rzeczypospolitej Polskiej oraz reformy służb specjalnych, opublikowany w dniu 6 września 2023 r Senat RP X Kadencji, druk 10</w:t>
      </w:r>
      <w:r w:rsidRPr="00827059">
        <w:rPr>
          <w:color w:val="111111"/>
          <w:sz w:val="20"/>
          <w:szCs w:val="20"/>
        </w:rPr>
        <w:br/>
      </w:r>
    </w:p>
    <w:p w14:paraId="4F60BA67" w14:textId="31901978" w:rsidR="00827059" w:rsidRPr="00827059" w:rsidRDefault="00827059" w:rsidP="00827059">
      <w:pPr>
        <w:jc w:val="both"/>
        <w:rPr>
          <w:color w:val="111111"/>
          <w:sz w:val="20"/>
          <w:szCs w:val="20"/>
        </w:rPr>
      </w:pPr>
      <w:r w:rsidRPr="00827059">
        <w:rPr>
          <w:color w:val="111111"/>
          <w:sz w:val="20"/>
          <w:szCs w:val="20"/>
        </w:rPr>
        <w:br/>
      </w:r>
    </w:p>
    <w:p w14:paraId="40DCE630" w14:textId="77777777" w:rsidR="00827059" w:rsidRPr="005F5E2F" w:rsidRDefault="00827059" w:rsidP="00746224">
      <w:pPr>
        <w:spacing w:line="360" w:lineRule="auto"/>
        <w:ind w:firstLine="708"/>
        <w:jc w:val="both"/>
      </w:pPr>
    </w:p>
    <w:sectPr w:rsidR="00827059" w:rsidRPr="005F5E2F">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DD1CB2" w16cex:dateUtc="2025-07-28T21:46:00Z"/>
  <w16cex:commentExtensible w16cex:durableId="25EB2CB1" w16cex:dateUtc="2025-07-28T21:51:00Z"/>
  <w16cex:commentExtensible w16cex:durableId="730D9AF0" w16cex:dateUtc="2025-07-28T21:53:00Z"/>
  <w16cex:commentExtensible w16cex:durableId="3E58F3B2" w16cex:dateUtc="2025-07-28T2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C7B0" w14:textId="77777777" w:rsidR="00023A0E" w:rsidRDefault="00023A0E" w:rsidP="00285EF5">
      <w:r>
        <w:separator/>
      </w:r>
    </w:p>
  </w:endnote>
  <w:endnote w:type="continuationSeparator" w:id="0">
    <w:p w14:paraId="302501AA" w14:textId="77777777" w:rsidR="00023A0E" w:rsidRDefault="00023A0E" w:rsidP="0028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573905"/>
      <w:docPartObj>
        <w:docPartGallery w:val="Page Numbers (Bottom of Page)"/>
        <w:docPartUnique/>
      </w:docPartObj>
    </w:sdtPr>
    <w:sdtEndPr/>
    <w:sdtContent>
      <w:p w14:paraId="28E2F24E" w14:textId="77777777" w:rsidR="00E6210F" w:rsidRDefault="00E6210F">
        <w:pPr>
          <w:pStyle w:val="Stopka"/>
          <w:jc w:val="center"/>
        </w:pPr>
        <w:r>
          <w:fldChar w:fldCharType="begin"/>
        </w:r>
        <w:r>
          <w:instrText>PAGE   \* MERGEFORMAT</w:instrText>
        </w:r>
        <w:r>
          <w:fldChar w:fldCharType="separate"/>
        </w:r>
        <w:r>
          <w:t>2</w:t>
        </w:r>
        <w:r>
          <w:fldChar w:fldCharType="end"/>
        </w:r>
      </w:p>
    </w:sdtContent>
  </w:sdt>
  <w:p w14:paraId="25766292" w14:textId="77777777" w:rsidR="00E6210F" w:rsidRDefault="00E621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0A00" w14:textId="77777777" w:rsidR="00023A0E" w:rsidRDefault="00023A0E" w:rsidP="00285EF5">
      <w:r>
        <w:separator/>
      </w:r>
    </w:p>
  </w:footnote>
  <w:footnote w:type="continuationSeparator" w:id="0">
    <w:p w14:paraId="47E0C143" w14:textId="77777777" w:rsidR="00023A0E" w:rsidRDefault="00023A0E" w:rsidP="00285EF5">
      <w:r>
        <w:continuationSeparator/>
      </w:r>
    </w:p>
  </w:footnote>
  <w:footnote w:id="1">
    <w:p w14:paraId="724A08D4" w14:textId="77777777" w:rsidR="00983CCD" w:rsidRPr="00982688" w:rsidRDefault="00983CCD" w:rsidP="00983CCD">
      <w:pPr>
        <w:autoSpaceDE w:val="0"/>
        <w:autoSpaceDN w:val="0"/>
        <w:adjustRightInd w:val="0"/>
        <w:jc w:val="both"/>
        <w:rPr>
          <w:rFonts w:eastAsiaTheme="minorHAnsi"/>
          <w:sz w:val="20"/>
          <w:szCs w:val="20"/>
          <w:lang w:eastAsia="en-US"/>
        </w:rPr>
      </w:pPr>
      <w:r>
        <w:rPr>
          <w:rStyle w:val="Odwoanieprzypisudolnego"/>
        </w:rPr>
        <w:footnoteRef/>
      </w:r>
      <w:r>
        <w:t xml:space="preserve"> </w:t>
      </w:r>
      <w:bookmarkStart w:id="1" w:name="_Hlk202707420"/>
      <w:r>
        <w:t xml:space="preserve">SO </w:t>
      </w:r>
      <w:r w:rsidRPr="00982688">
        <w:rPr>
          <w:rFonts w:eastAsiaTheme="minorHAnsi"/>
          <w:sz w:val="20"/>
          <w:szCs w:val="20"/>
          <w:lang w:eastAsia="en-US"/>
        </w:rPr>
        <w:t xml:space="preserve"> orzeczon</w:t>
      </w:r>
      <w:r>
        <w:rPr>
          <w:rFonts w:eastAsiaTheme="minorHAnsi"/>
          <w:sz w:val="20"/>
          <w:szCs w:val="20"/>
          <w:lang w:eastAsia="en-US"/>
        </w:rPr>
        <w:t xml:space="preserve">e </w:t>
      </w:r>
      <w:r w:rsidRPr="00982688">
        <w:rPr>
          <w:rFonts w:eastAsiaTheme="minorHAnsi"/>
          <w:sz w:val="20"/>
          <w:szCs w:val="20"/>
          <w:lang w:eastAsia="en-US"/>
        </w:rPr>
        <w:t xml:space="preserve">wobec oskarżonego R. J. (1) </w:t>
      </w:r>
      <w:r>
        <w:rPr>
          <w:rFonts w:eastAsiaTheme="minorHAnsi"/>
          <w:sz w:val="20"/>
          <w:szCs w:val="20"/>
          <w:lang w:eastAsia="en-US"/>
        </w:rPr>
        <w:t xml:space="preserve">i </w:t>
      </w:r>
      <w:r w:rsidRPr="00982688">
        <w:rPr>
          <w:rFonts w:eastAsiaTheme="minorHAnsi"/>
          <w:sz w:val="20"/>
          <w:szCs w:val="20"/>
          <w:lang w:eastAsia="en-US"/>
        </w:rPr>
        <w:t>oskarżonej K. T.</w:t>
      </w:r>
      <w:r>
        <w:rPr>
          <w:rFonts w:eastAsiaTheme="minorHAnsi"/>
          <w:sz w:val="20"/>
          <w:szCs w:val="20"/>
          <w:lang w:eastAsia="en-US"/>
        </w:rPr>
        <w:t xml:space="preserve"> </w:t>
      </w:r>
      <w:r w:rsidRPr="00982688">
        <w:rPr>
          <w:rFonts w:eastAsiaTheme="minorHAnsi"/>
          <w:sz w:val="20"/>
          <w:szCs w:val="20"/>
          <w:lang w:eastAsia="en-US"/>
        </w:rPr>
        <w:t>kar</w:t>
      </w:r>
      <w:r>
        <w:rPr>
          <w:rFonts w:eastAsiaTheme="minorHAnsi"/>
          <w:sz w:val="20"/>
          <w:szCs w:val="20"/>
          <w:lang w:eastAsia="en-US"/>
        </w:rPr>
        <w:t>y</w:t>
      </w:r>
      <w:r w:rsidRPr="00982688">
        <w:rPr>
          <w:rFonts w:eastAsiaTheme="minorHAnsi"/>
          <w:sz w:val="20"/>
          <w:szCs w:val="20"/>
          <w:lang w:eastAsia="en-US"/>
        </w:rPr>
        <w:t xml:space="preserve"> pozbawienia wolności warunkowo zawiesił na 3 lata okresu próby</w:t>
      </w:r>
      <w:r>
        <w:rPr>
          <w:rFonts w:eastAsiaTheme="minorHAnsi"/>
          <w:sz w:val="20"/>
          <w:szCs w:val="20"/>
          <w:lang w:eastAsia="en-US"/>
        </w:rPr>
        <w:t>. Ponadto</w:t>
      </w:r>
      <w:r w:rsidRPr="00982688">
        <w:rPr>
          <w:rFonts w:eastAsiaTheme="minorHAnsi"/>
          <w:sz w:val="20"/>
          <w:szCs w:val="20"/>
          <w:lang w:eastAsia="en-US"/>
        </w:rPr>
        <w:t xml:space="preserve"> orzekł wobec oskarżonego R. J. (1) karę grzywny w wymiarze 100 stawek dziennych przy przyjęciu wysokości jednej stawki na kwotę 100 złotych</w:t>
      </w:r>
      <w:r>
        <w:rPr>
          <w:rFonts w:eastAsiaTheme="minorHAnsi"/>
          <w:sz w:val="20"/>
          <w:szCs w:val="20"/>
          <w:lang w:eastAsia="en-US"/>
        </w:rPr>
        <w:t xml:space="preserve">, a </w:t>
      </w:r>
      <w:r w:rsidRPr="00982688">
        <w:rPr>
          <w:rFonts w:eastAsiaTheme="minorHAnsi"/>
          <w:sz w:val="20"/>
          <w:szCs w:val="20"/>
          <w:lang w:eastAsia="en-US"/>
        </w:rPr>
        <w:t>wobec oskarżonej K. T. karę grzywny w wymiarze 100 stawek dziennych przy przyjęciu wysokości jednej stawki na kwotę 50 złotych</w:t>
      </w:r>
      <w:r>
        <w:rPr>
          <w:rFonts w:eastAsiaTheme="minorHAnsi"/>
          <w:sz w:val="20"/>
          <w:szCs w:val="20"/>
          <w:lang w:eastAsia="en-US"/>
        </w:rPr>
        <w:t>. Z</w:t>
      </w:r>
      <w:r w:rsidRPr="00982688">
        <w:rPr>
          <w:rFonts w:eastAsiaTheme="minorHAnsi"/>
          <w:sz w:val="20"/>
          <w:szCs w:val="20"/>
          <w:lang w:eastAsia="en-US"/>
        </w:rPr>
        <w:t xml:space="preserve">obowiązał oskarżonego R. J. (1) </w:t>
      </w:r>
      <w:r>
        <w:rPr>
          <w:rFonts w:eastAsiaTheme="minorHAnsi"/>
          <w:sz w:val="20"/>
          <w:szCs w:val="20"/>
          <w:lang w:eastAsia="en-US"/>
        </w:rPr>
        <w:t xml:space="preserve"> oraz </w:t>
      </w:r>
      <w:r w:rsidRPr="00982688">
        <w:rPr>
          <w:rFonts w:eastAsiaTheme="minorHAnsi"/>
          <w:sz w:val="20"/>
          <w:szCs w:val="20"/>
          <w:lang w:eastAsia="en-US"/>
        </w:rPr>
        <w:t>oskarżoną K. T. – w okresie próby – do informowania Sądu o przebiegu okresu próby</w:t>
      </w:r>
      <w:r>
        <w:rPr>
          <w:rFonts w:eastAsiaTheme="minorHAnsi"/>
          <w:sz w:val="20"/>
          <w:szCs w:val="20"/>
          <w:lang w:eastAsia="en-US"/>
        </w:rPr>
        <w:t>.</w:t>
      </w:r>
    </w:p>
    <w:bookmarkEnd w:id="1"/>
    <w:p w14:paraId="1D418EB9" w14:textId="77777777" w:rsidR="00983CCD" w:rsidRDefault="00983CCD" w:rsidP="00983CCD">
      <w:pPr>
        <w:pStyle w:val="Tekstprzypisudolnego"/>
      </w:pPr>
    </w:p>
  </w:footnote>
  <w:footnote w:id="2">
    <w:p w14:paraId="770D23A6" w14:textId="77777777" w:rsidR="00285EF5" w:rsidRPr="0088767C" w:rsidRDefault="00285EF5" w:rsidP="0088767C">
      <w:pPr>
        <w:pStyle w:val="Tekstprzypisudolnego"/>
        <w:jc w:val="both"/>
      </w:pPr>
      <w:r w:rsidRPr="0088767C">
        <w:rPr>
          <w:rStyle w:val="Odwoanieprzypisudolnego"/>
        </w:rPr>
        <w:footnoteRef/>
      </w:r>
      <w:r w:rsidRPr="0088767C">
        <w:t xml:space="preserve"> </w:t>
      </w:r>
      <w:r w:rsidRPr="0088767C">
        <w:rPr>
          <w:rFonts w:eastAsia="Calibri"/>
          <w:iCs/>
          <w:color w:val="000000"/>
        </w:rPr>
        <w:t xml:space="preserve"> SA opisuje to oprogramowanie jako szpiegujące (typu spyware),umożliwiające pełną zdalną inwigilację jednostki. Przeznaczony jest do infekowania urządzeń mobilnych. Po zainstalowaniu przejmuje kontrolę nad telefonem, omijając wbudowane zabezpieczenia sprzętowe i programowe, łącznie z systemami szyfrowania danych. Daje pełen dostęp do wszystkich informacji znajdujących się na urządzeniu – między innymi wgląd w treść wiadomości tekstowych, pozwala na przechwytywanie połączeń głosowych, zapewnia dostęp do lokalizacji urządzenia, do przechowywanych na nim filmów, zdjęć, notatek. Za pomocą oprogramowania możliwe jest włączenie w dowolnym momencie kamery i mikrofonu bez wiedzy użytkownika telefonu. </w:t>
      </w:r>
    </w:p>
  </w:footnote>
  <w:footnote w:id="3">
    <w:p w14:paraId="4E1D8C58" w14:textId="77777777" w:rsidR="00955E17" w:rsidRPr="0088767C" w:rsidRDefault="00955E17" w:rsidP="0088767C">
      <w:pPr>
        <w:autoSpaceDE w:val="0"/>
        <w:autoSpaceDN w:val="0"/>
        <w:adjustRightInd w:val="0"/>
        <w:jc w:val="both"/>
        <w:rPr>
          <w:rFonts w:eastAsia="Calibri"/>
          <w:color w:val="000000"/>
          <w:sz w:val="20"/>
          <w:szCs w:val="20"/>
        </w:rPr>
      </w:pPr>
      <w:r w:rsidRPr="0088767C">
        <w:rPr>
          <w:rStyle w:val="Odwoanieprzypisudolnego"/>
          <w:sz w:val="20"/>
          <w:szCs w:val="20"/>
        </w:rPr>
        <w:footnoteRef/>
      </w:r>
      <w:r w:rsidRPr="0088767C">
        <w:rPr>
          <w:rFonts w:eastAsia="Calibri"/>
          <w:color w:val="000000"/>
          <w:sz w:val="20"/>
          <w:szCs w:val="20"/>
        </w:rPr>
        <w:t>A. Barczak-</w:t>
      </w:r>
      <w:proofErr w:type="spellStart"/>
      <w:r w:rsidRPr="0088767C">
        <w:rPr>
          <w:rFonts w:eastAsia="Calibri"/>
          <w:color w:val="000000"/>
          <w:sz w:val="20"/>
          <w:szCs w:val="20"/>
        </w:rPr>
        <w:t>Oplustil</w:t>
      </w:r>
      <w:proofErr w:type="spellEnd"/>
      <w:r w:rsidRPr="0088767C">
        <w:rPr>
          <w:rFonts w:eastAsia="Calibri"/>
          <w:color w:val="000000"/>
          <w:sz w:val="20"/>
          <w:szCs w:val="20"/>
        </w:rPr>
        <w:t xml:space="preserve">, M. Małecki, S. </w:t>
      </w:r>
      <w:proofErr w:type="spellStart"/>
      <w:r w:rsidRPr="0088767C">
        <w:rPr>
          <w:rFonts w:eastAsia="Calibri"/>
          <w:color w:val="000000"/>
          <w:sz w:val="20"/>
          <w:szCs w:val="20"/>
        </w:rPr>
        <w:t>Tarapata</w:t>
      </w:r>
      <w:proofErr w:type="spellEnd"/>
      <w:r w:rsidRPr="0088767C">
        <w:rPr>
          <w:rFonts w:eastAsia="Calibri"/>
          <w:color w:val="000000"/>
          <w:sz w:val="20"/>
          <w:szCs w:val="20"/>
        </w:rPr>
        <w:t xml:space="preserve">, A. </w:t>
      </w:r>
      <w:proofErr w:type="spellStart"/>
      <w:r w:rsidRPr="0088767C">
        <w:rPr>
          <w:rFonts w:eastAsia="Calibri"/>
          <w:color w:val="000000"/>
          <w:sz w:val="20"/>
          <w:szCs w:val="20"/>
        </w:rPr>
        <w:t>Behan</w:t>
      </w:r>
      <w:proofErr w:type="spellEnd"/>
      <w:r w:rsidRPr="0088767C">
        <w:rPr>
          <w:rFonts w:eastAsia="Calibri"/>
          <w:color w:val="000000"/>
          <w:sz w:val="20"/>
          <w:szCs w:val="20"/>
        </w:rPr>
        <w:t xml:space="preserve">, W. Zontek: </w:t>
      </w:r>
      <w:r w:rsidRPr="0088767C">
        <w:rPr>
          <w:rFonts w:eastAsia="Calibri"/>
          <w:bCs/>
          <w:i/>
          <w:color w:val="000000"/>
          <w:sz w:val="20"/>
          <w:szCs w:val="20"/>
        </w:rPr>
        <w:t xml:space="preserve">Dopuszczalność nabycia i używania w ramach kontroli operacyjnej określonego typu programów komputerowych (casus </w:t>
      </w:r>
      <w:proofErr w:type="spellStart"/>
      <w:r w:rsidRPr="0088767C">
        <w:rPr>
          <w:rFonts w:eastAsia="Calibri"/>
          <w:bCs/>
          <w:i/>
          <w:color w:val="000000"/>
          <w:sz w:val="20"/>
          <w:szCs w:val="20"/>
        </w:rPr>
        <w:t>Pegasusa</w:t>
      </w:r>
      <w:proofErr w:type="spellEnd"/>
      <w:r w:rsidRPr="0088767C">
        <w:rPr>
          <w:rFonts w:eastAsia="Calibri"/>
          <w:bCs/>
          <w:i/>
          <w:color w:val="000000"/>
          <w:sz w:val="20"/>
          <w:szCs w:val="20"/>
        </w:rPr>
        <w:t>)</w:t>
      </w:r>
      <w:r w:rsidRPr="0088767C">
        <w:rPr>
          <w:rFonts w:eastAsia="Calibri"/>
          <w:i/>
          <w:color w:val="000000"/>
          <w:sz w:val="20"/>
          <w:szCs w:val="20"/>
        </w:rPr>
        <w:t xml:space="preserve"> </w:t>
      </w:r>
      <w:r w:rsidRPr="0088767C">
        <w:rPr>
          <w:rFonts w:eastAsia="Calibri"/>
          <w:color w:val="000000"/>
          <w:sz w:val="20"/>
          <w:szCs w:val="20"/>
        </w:rPr>
        <w:t xml:space="preserve">Kraków, 15.02.2022r. </w:t>
      </w:r>
    </w:p>
  </w:footnote>
  <w:footnote w:id="4">
    <w:p w14:paraId="5E9DDB51" w14:textId="77777777" w:rsidR="00E56276" w:rsidRPr="0088767C" w:rsidRDefault="00E56276" w:rsidP="00E56276">
      <w:pPr>
        <w:pStyle w:val="Tekstprzypisudolnego"/>
        <w:jc w:val="both"/>
      </w:pPr>
      <w:r w:rsidRPr="0088767C">
        <w:rPr>
          <w:rStyle w:val="Odwoanieprzypisudolnego"/>
        </w:rPr>
        <w:footnoteRef/>
      </w:r>
      <w:r w:rsidRPr="0088767C">
        <w:t xml:space="preserve"> </w:t>
      </w:r>
      <w:r>
        <w:rPr>
          <w:rFonts w:eastAsia="Calibri"/>
          <w:bCs/>
        </w:rPr>
        <w:t xml:space="preserve">Podobny pogląd wyrazili </w:t>
      </w:r>
      <w:r w:rsidRPr="00F17202">
        <w:rPr>
          <w:rFonts w:eastAsia="Calibri"/>
          <w:bCs/>
        </w:rPr>
        <w:t>autorzy</w:t>
      </w:r>
      <w:r w:rsidRPr="00F17202">
        <w:t xml:space="preserve"> „Raportu końcowego Komisji Nadzwyczajnej do spraw wyjaśnienia przypadków nielegalnej inwigilacji, ich wpływu na proces wyborczy w Rzeczypospolitej Polskiej oraz reformy służb specjalnych.”</w:t>
      </w:r>
      <w:r w:rsidRPr="0088767C">
        <w:t>.</w:t>
      </w:r>
      <w:r w:rsidRPr="0088767C">
        <w:rPr>
          <w:i/>
        </w:rPr>
        <w:t xml:space="preserve"> </w:t>
      </w:r>
      <w:r w:rsidRPr="0088767C">
        <w:t xml:space="preserve">Opublikowany w dniu 6 września 2023 r </w:t>
      </w:r>
      <w:r>
        <w:t>S</w:t>
      </w:r>
      <w:r w:rsidRPr="0088767C">
        <w:t>enat RP X Kadencji, druk 1090</w:t>
      </w:r>
    </w:p>
  </w:footnote>
  <w:footnote w:id="5">
    <w:p w14:paraId="68F399F9" w14:textId="77777777" w:rsidR="00983CCD" w:rsidRDefault="00983CCD">
      <w:pPr>
        <w:pStyle w:val="Tekstprzypisudolnego"/>
      </w:pPr>
      <w:r>
        <w:rPr>
          <w:rStyle w:val="Odwoanieprzypisudolnego"/>
        </w:rPr>
        <w:footnoteRef/>
      </w:r>
      <w:r>
        <w:t xml:space="preserve"> </w:t>
      </w:r>
      <w:r w:rsidRPr="00983CCD">
        <w:t>Dz.U. z 2024 r. poz. 632</w:t>
      </w:r>
    </w:p>
  </w:footnote>
  <w:footnote w:id="6">
    <w:p w14:paraId="6466E6B5" w14:textId="77777777" w:rsidR="00983CCD" w:rsidRPr="0088767C" w:rsidRDefault="00983CCD" w:rsidP="00983CCD">
      <w:pPr>
        <w:pStyle w:val="Tekstprzypisudolnego"/>
        <w:jc w:val="both"/>
      </w:pPr>
      <w:r w:rsidRPr="0088767C">
        <w:rPr>
          <w:rStyle w:val="Odwoanieprzypisudolnego"/>
        </w:rPr>
        <w:footnoteRef/>
      </w:r>
      <w:r w:rsidRPr="0088767C">
        <w:t xml:space="preserve"> Dz.U. Nr 159, poz.948</w:t>
      </w:r>
    </w:p>
  </w:footnote>
  <w:footnote w:id="7">
    <w:p w14:paraId="5AAD9441" w14:textId="77777777" w:rsidR="00955E17" w:rsidRPr="0088767C" w:rsidRDefault="00955E17" w:rsidP="0088767C">
      <w:pPr>
        <w:pStyle w:val="Tekstprzypisudolnego"/>
        <w:jc w:val="both"/>
      </w:pPr>
      <w:r w:rsidRPr="0088767C">
        <w:rPr>
          <w:rStyle w:val="Odwoanieprzypisudolnego"/>
        </w:rPr>
        <w:footnoteRef/>
      </w:r>
      <w:r w:rsidRPr="0088767C">
        <w:t xml:space="preserve"> </w:t>
      </w:r>
      <w:r w:rsidRPr="0088767C">
        <w:rPr>
          <w:i/>
        </w:rPr>
        <w:t>Raport końcowy Komisji Nadzwyczajnej</w:t>
      </w:r>
      <w:r w:rsidRPr="0088767C">
        <w:t>…, s. 33; A.</w:t>
      </w:r>
      <w:r w:rsidRPr="0088767C">
        <w:rPr>
          <w:rFonts w:eastAsia="Calibri"/>
          <w:color w:val="000000"/>
        </w:rPr>
        <w:t xml:space="preserve"> Barczak-</w:t>
      </w:r>
      <w:proofErr w:type="spellStart"/>
      <w:r w:rsidRPr="0088767C">
        <w:rPr>
          <w:rFonts w:eastAsia="Calibri"/>
          <w:color w:val="000000"/>
        </w:rPr>
        <w:t>Oplustil</w:t>
      </w:r>
      <w:proofErr w:type="spellEnd"/>
      <w:r w:rsidRPr="0088767C">
        <w:rPr>
          <w:rFonts w:eastAsia="Calibri"/>
          <w:color w:val="000000"/>
        </w:rPr>
        <w:t xml:space="preserve"> i in.: </w:t>
      </w:r>
      <w:r w:rsidRPr="0088767C">
        <w:rPr>
          <w:rFonts w:eastAsia="Calibri"/>
          <w:bCs/>
          <w:i/>
          <w:color w:val="000000"/>
        </w:rPr>
        <w:t>Dopuszczalność nabycia i używania w ramach kontroli operacyjnej</w:t>
      </w:r>
      <w:r w:rsidRPr="0088767C">
        <w:t xml:space="preserve"> …, s. </w:t>
      </w:r>
    </w:p>
  </w:footnote>
  <w:footnote w:id="8">
    <w:p w14:paraId="501D6E09" w14:textId="77777777" w:rsidR="00285EF5" w:rsidRPr="0088767C" w:rsidRDefault="00285EF5" w:rsidP="0088767C">
      <w:pPr>
        <w:pStyle w:val="Tekstprzypisudolnego"/>
        <w:jc w:val="both"/>
      </w:pPr>
      <w:r w:rsidRPr="0088767C">
        <w:rPr>
          <w:rStyle w:val="Odwoanieprzypisudolnego"/>
        </w:rPr>
        <w:footnoteRef/>
      </w:r>
      <w:r w:rsidRPr="0088767C">
        <w:t xml:space="preserve"> Uzasadnienie, s. </w:t>
      </w:r>
    </w:p>
  </w:footnote>
  <w:footnote w:id="9">
    <w:p w14:paraId="141322BE" w14:textId="77777777" w:rsidR="00145EE7" w:rsidRPr="0088767C" w:rsidRDefault="00145EE7" w:rsidP="0088767C">
      <w:pPr>
        <w:pStyle w:val="Tekstprzypisudolnego"/>
        <w:jc w:val="both"/>
      </w:pPr>
      <w:r w:rsidRPr="0088767C">
        <w:rPr>
          <w:rStyle w:val="Odwoanieprzypisudolnego"/>
        </w:rPr>
        <w:footnoteRef/>
      </w:r>
      <w:r w:rsidRPr="0088767C">
        <w:t xml:space="preserve"> L. Morawski: </w:t>
      </w:r>
      <w:r w:rsidRPr="0088767C">
        <w:rPr>
          <w:i/>
        </w:rPr>
        <w:t>Zasady wykładni prawa</w:t>
      </w:r>
      <w:r w:rsidRPr="0088767C">
        <w:t>, Toruń 2006, s. 67 – 75 i cyt. tam literatura</w:t>
      </w:r>
    </w:p>
  </w:footnote>
  <w:footnote w:id="10">
    <w:p w14:paraId="3D2893D6" w14:textId="77777777" w:rsidR="0014648D" w:rsidRPr="0088767C" w:rsidRDefault="0014648D" w:rsidP="0088767C">
      <w:pPr>
        <w:pStyle w:val="Tekstprzypisudolnego"/>
        <w:jc w:val="both"/>
      </w:pPr>
      <w:r w:rsidRPr="0088767C">
        <w:rPr>
          <w:rStyle w:val="Odwoanieprzypisudolnego"/>
        </w:rPr>
        <w:footnoteRef/>
      </w:r>
      <w:r w:rsidRPr="0088767C">
        <w:t xml:space="preserve"> Polskie ustawodawstwo  policyjne nakłada na przedsiębiorcę telekomunikacyjnego, operatora pocztowego oraz usługodawcę świadczącego usługi drogą elektroniczną obowiązek zapewnienia</w:t>
      </w:r>
      <w:r w:rsidR="00E45B45">
        <w:t xml:space="preserve"> </w:t>
      </w:r>
      <w:r w:rsidRPr="0088767C">
        <w:t>na własny koszt warunków technicznych i organizacyjnych umożliwiających prowadzenie przez Policję kontroli operacyjnej. Jest to jedyna regulacja zawarta w ustawodawstwie policyjnym odnosząca się do warunków technicznych  przeprowadzania kontroli operacyjnej.</w:t>
      </w:r>
    </w:p>
  </w:footnote>
  <w:footnote w:id="11">
    <w:p w14:paraId="58BC5727" w14:textId="77777777" w:rsidR="001F2574" w:rsidRPr="0088767C" w:rsidRDefault="001F2574" w:rsidP="0088767C">
      <w:pPr>
        <w:pStyle w:val="Default"/>
        <w:jc w:val="both"/>
        <w:rPr>
          <w:sz w:val="20"/>
          <w:szCs w:val="20"/>
        </w:rPr>
      </w:pPr>
      <w:r w:rsidRPr="0088767C">
        <w:rPr>
          <w:rStyle w:val="Odwoanieprzypisudolnego"/>
          <w:sz w:val="20"/>
          <w:szCs w:val="20"/>
        </w:rPr>
        <w:footnoteRef/>
      </w:r>
      <w:r w:rsidRPr="0088767C">
        <w:rPr>
          <w:sz w:val="20"/>
          <w:szCs w:val="20"/>
        </w:rPr>
        <w:t xml:space="preserve"> </w:t>
      </w:r>
      <w:r w:rsidR="00365690" w:rsidRPr="0088767C">
        <w:rPr>
          <w:sz w:val="20"/>
          <w:szCs w:val="20"/>
        </w:rPr>
        <w:t>Wyrok Trybunału Konstytucyjnego z 30 lipca 2014 r., sygn. ,akt K 23?11, sentencja wyroku została ogłoszona dnia 6 sierpnia 2014 r. w Dz. U. poz. 1055</w:t>
      </w:r>
    </w:p>
  </w:footnote>
  <w:footnote w:id="12">
    <w:p w14:paraId="4C6847E9" w14:textId="77777777" w:rsidR="00A2021F" w:rsidRPr="0088767C" w:rsidRDefault="00A2021F" w:rsidP="0088767C">
      <w:pPr>
        <w:pStyle w:val="Tekstprzypisudolnego"/>
        <w:jc w:val="both"/>
      </w:pPr>
      <w:r w:rsidRPr="0088767C">
        <w:rPr>
          <w:rStyle w:val="Odwoanieprzypisudolnego"/>
        </w:rPr>
        <w:footnoteRef/>
      </w:r>
      <w:r w:rsidRPr="0088767C">
        <w:t xml:space="preserve"> Wyrok Trybunału Konstytucyjnego z 30 lipca 2014 r.,  s. 79 - 80</w:t>
      </w:r>
    </w:p>
  </w:footnote>
  <w:footnote w:id="13">
    <w:p w14:paraId="579BA031" w14:textId="77777777" w:rsidR="00A2021F" w:rsidRPr="0088767C" w:rsidRDefault="00A2021F" w:rsidP="0088767C">
      <w:pPr>
        <w:pStyle w:val="Tekstprzypisudolnego"/>
        <w:jc w:val="both"/>
      </w:pPr>
      <w:r w:rsidRPr="0088767C">
        <w:rPr>
          <w:rStyle w:val="Odwoanieprzypisudolnego"/>
        </w:rPr>
        <w:footnoteRef/>
      </w:r>
      <w:r w:rsidRPr="0088767C">
        <w:t xml:space="preserve"> Wyrok Trybunału Konstytucyjnego z 30 lipca 2014 r., s.52</w:t>
      </w:r>
    </w:p>
  </w:footnote>
  <w:footnote w:id="14">
    <w:p w14:paraId="085D5CE2" w14:textId="77777777" w:rsidR="00F17202" w:rsidRPr="0088767C" w:rsidRDefault="00F17202" w:rsidP="0088767C">
      <w:pPr>
        <w:pStyle w:val="Tekstprzypisudolnego"/>
        <w:jc w:val="both"/>
      </w:pPr>
      <w:r w:rsidRPr="0088767C">
        <w:rPr>
          <w:rStyle w:val="Odwoanieprzypisudolnego"/>
        </w:rPr>
        <w:footnoteRef/>
      </w:r>
      <w:r w:rsidRPr="0088767C">
        <w:t xml:space="preserve"> S.72</w:t>
      </w:r>
    </w:p>
  </w:footnote>
  <w:footnote w:id="15">
    <w:p w14:paraId="00C0FEDB" w14:textId="77777777" w:rsidR="0039478A" w:rsidRPr="0088767C" w:rsidRDefault="0039478A" w:rsidP="0088767C">
      <w:pPr>
        <w:pStyle w:val="Tekstprzypisudolnego"/>
        <w:jc w:val="both"/>
      </w:pPr>
      <w:r w:rsidRPr="0088767C">
        <w:rPr>
          <w:rStyle w:val="Odwoanieprzypisudolnego"/>
        </w:rPr>
        <w:footnoteRef/>
      </w:r>
      <w:r w:rsidRPr="0088767C">
        <w:t xml:space="preserve"> </w:t>
      </w:r>
      <w:r w:rsidR="00C834EC">
        <w:t>Z</w:t>
      </w:r>
      <w:r w:rsidRPr="0088767C">
        <w:t>ob. wyroki TK z: 26 listopada 2003 r., sygn. SK 22/02, OTK ZU nr 9/A/2003, poz. 97, cz. III, pkt 4; 5 maja 2004 r., sygn. P 2/03, OTK ZU nr 5/A/2004, poz. 39, cz. III, pkt 3.5; 13 stycznia 2005 r., sygn. P 15/02, OTK ZU nr 1/A/2005, poz. 4, cz. III, pkt 2; 28 czerwca 2005 r., sygn. SK 56/04, OTK ZU nr 6/A/2005, poz. 67, cz. V, pkt 1; 17 grudnia 2008 r., sygn. P 16/08, OTK ZU nr 10/A/2008, poz. 181, cz. IV, pkt 8.2.2; 22 czerwca 2010 r., sygn. SK 25/08, OTK ZU nr 5/A/2010, poz. 51 cz. III, pkt 4.1-4.2; 1 grudnia 2010 r., sygn. K 41/07, OTK ZU nr 10/A/2010, poz. 127, cz. III, pkt 3.2</w:t>
      </w:r>
    </w:p>
  </w:footnote>
  <w:footnote w:id="16">
    <w:p w14:paraId="06FDC63E" w14:textId="77777777" w:rsidR="0039478A" w:rsidRPr="0088767C" w:rsidRDefault="0039478A" w:rsidP="0088767C">
      <w:pPr>
        <w:pStyle w:val="Tekstprzypisudolnego"/>
        <w:jc w:val="both"/>
      </w:pPr>
      <w:r w:rsidRPr="0088767C">
        <w:rPr>
          <w:rStyle w:val="Odwoanieprzypisudolnego"/>
        </w:rPr>
        <w:footnoteRef/>
      </w:r>
      <w:r w:rsidRPr="0088767C">
        <w:t xml:space="preserve"> </w:t>
      </w:r>
      <w:r w:rsidR="00C834EC">
        <w:t>W</w:t>
      </w:r>
      <w:r w:rsidRPr="0088767C">
        <w:t>yrok TK z 20 czerwca 2005 r., sygn. K 4/04, cz. V, pkt 2.6</w:t>
      </w:r>
    </w:p>
  </w:footnote>
  <w:footnote w:id="17">
    <w:p w14:paraId="50AAF238" w14:textId="77777777" w:rsidR="00F17202" w:rsidRPr="0088767C" w:rsidRDefault="00F17202" w:rsidP="0088767C">
      <w:pPr>
        <w:pStyle w:val="Tekstprzypisudolnego"/>
        <w:jc w:val="both"/>
      </w:pPr>
      <w:r w:rsidRPr="0088767C">
        <w:rPr>
          <w:rStyle w:val="Odwoanieprzypisudolnego"/>
        </w:rPr>
        <w:footnoteRef/>
      </w:r>
      <w:r w:rsidRPr="0088767C">
        <w:t xml:space="preserve"> </w:t>
      </w:r>
      <w:r w:rsidR="00365690" w:rsidRPr="0088767C">
        <w:t>Wyrok Trybunału Konstytucyjnego z 30 lipca 2014 r., s</w:t>
      </w:r>
      <w:r w:rsidRPr="0088767C">
        <w:t>.</w:t>
      </w:r>
      <w:r w:rsidR="00C834EC">
        <w:t>72 -</w:t>
      </w:r>
      <w:r w:rsidRPr="0088767C">
        <w:t xml:space="preserve"> 73</w:t>
      </w:r>
    </w:p>
  </w:footnote>
  <w:footnote w:id="18">
    <w:p w14:paraId="491B2E70" w14:textId="77777777" w:rsidR="002D60D7" w:rsidRDefault="002D60D7">
      <w:pPr>
        <w:pStyle w:val="Tekstprzypisudolnego"/>
      </w:pPr>
      <w:r>
        <w:rPr>
          <w:rStyle w:val="Odwoanieprzypisudolnego"/>
        </w:rPr>
        <w:footnoteRef/>
      </w:r>
      <w:r>
        <w:t xml:space="preserve"> </w:t>
      </w:r>
      <w:r w:rsidRPr="005F5E2F">
        <w:t>W sytuacji, gdyby zaistniała taka koniczność w obecnym stanie prawnym CBA musiałaby skorzystać z systemu posiadającego akredytację, natomiast ABW, AW, SKW i SWW mogłyby się posłużyć systemem, który nie posiada akredytacji także w zakresie przetwarzania danych.</w:t>
      </w:r>
    </w:p>
  </w:footnote>
  <w:footnote w:id="19">
    <w:p w14:paraId="32D169FC" w14:textId="77777777" w:rsidR="00C42AEE" w:rsidRDefault="00C42AEE">
      <w:pPr>
        <w:pStyle w:val="Tekstprzypisudolnego"/>
      </w:pPr>
      <w:r>
        <w:rPr>
          <w:rStyle w:val="Odwoanieprzypisudolnego"/>
        </w:rPr>
        <w:footnoteRef/>
      </w:r>
      <w:r>
        <w:t xml:space="preserve"> </w:t>
      </w:r>
      <w:r w:rsidR="00CF4D0E">
        <w:t xml:space="preserve">Przepisy dotyczące kontroli operacyjnej zawarte w innych ustawach policyjnych zawierają identyczne regulacje (zob.  </w:t>
      </w:r>
      <w:r w:rsidR="001A56AC">
        <w:t xml:space="preserve">m.in. art. 19 ustawy o Policji, art. </w:t>
      </w:r>
      <w:r w:rsidR="0036048B">
        <w:t>27 ustawy o ABW oraz AW, art. 31 ustawy o ŻW, art. 31 ustawy o SKW oraz SWW).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F5"/>
    <w:rsid w:val="0000181F"/>
    <w:rsid w:val="00003987"/>
    <w:rsid w:val="00023A0E"/>
    <w:rsid w:val="00026B6F"/>
    <w:rsid w:val="000376AB"/>
    <w:rsid w:val="00076CAB"/>
    <w:rsid w:val="00085B82"/>
    <w:rsid w:val="000949A3"/>
    <w:rsid w:val="000A279C"/>
    <w:rsid w:val="000A34FB"/>
    <w:rsid w:val="000E1338"/>
    <w:rsid w:val="0013441D"/>
    <w:rsid w:val="0013776B"/>
    <w:rsid w:val="00145EE7"/>
    <w:rsid w:val="0014648D"/>
    <w:rsid w:val="00151829"/>
    <w:rsid w:val="001A56AC"/>
    <w:rsid w:val="001F2574"/>
    <w:rsid w:val="00212519"/>
    <w:rsid w:val="00266142"/>
    <w:rsid w:val="00285EF5"/>
    <w:rsid w:val="002D23F6"/>
    <w:rsid w:val="002D60D7"/>
    <w:rsid w:val="002F4756"/>
    <w:rsid w:val="00337818"/>
    <w:rsid w:val="00343F12"/>
    <w:rsid w:val="00350A54"/>
    <w:rsid w:val="0036048B"/>
    <w:rsid w:val="00365690"/>
    <w:rsid w:val="00374CCC"/>
    <w:rsid w:val="00391634"/>
    <w:rsid w:val="0039478A"/>
    <w:rsid w:val="003E2DD6"/>
    <w:rsid w:val="00407FC0"/>
    <w:rsid w:val="004330DA"/>
    <w:rsid w:val="004331CC"/>
    <w:rsid w:val="00484B3F"/>
    <w:rsid w:val="004B1F29"/>
    <w:rsid w:val="00556C8D"/>
    <w:rsid w:val="005705DB"/>
    <w:rsid w:val="005C0456"/>
    <w:rsid w:val="005F5E2F"/>
    <w:rsid w:val="0062686A"/>
    <w:rsid w:val="00660F28"/>
    <w:rsid w:val="006726A6"/>
    <w:rsid w:val="00672B8B"/>
    <w:rsid w:val="006D7CC9"/>
    <w:rsid w:val="006E0D1F"/>
    <w:rsid w:val="00707E78"/>
    <w:rsid w:val="00746224"/>
    <w:rsid w:val="007D5685"/>
    <w:rsid w:val="007E25C6"/>
    <w:rsid w:val="007E274C"/>
    <w:rsid w:val="007E7E81"/>
    <w:rsid w:val="007F5F17"/>
    <w:rsid w:val="00827059"/>
    <w:rsid w:val="008505ED"/>
    <w:rsid w:val="00870E70"/>
    <w:rsid w:val="0088767C"/>
    <w:rsid w:val="008F7113"/>
    <w:rsid w:val="009060DA"/>
    <w:rsid w:val="00906D18"/>
    <w:rsid w:val="00933CB0"/>
    <w:rsid w:val="00937BEF"/>
    <w:rsid w:val="00955E17"/>
    <w:rsid w:val="00982688"/>
    <w:rsid w:val="00983262"/>
    <w:rsid w:val="00983CCD"/>
    <w:rsid w:val="009B224D"/>
    <w:rsid w:val="009F0F9C"/>
    <w:rsid w:val="00A02E7F"/>
    <w:rsid w:val="00A2021F"/>
    <w:rsid w:val="00A20E13"/>
    <w:rsid w:val="00A32B9C"/>
    <w:rsid w:val="00A457A7"/>
    <w:rsid w:val="00AB38AB"/>
    <w:rsid w:val="00B21EC8"/>
    <w:rsid w:val="00B24643"/>
    <w:rsid w:val="00B87E12"/>
    <w:rsid w:val="00BD19FB"/>
    <w:rsid w:val="00BD482F"/>
    <w:rsid w:val="00C42AEE"/>
    <w:rsid w:val="00C65097"/>
    <w:rsid w:val="00C834EC"/>
    <w:rsid w:val="00C938F9"/>
    <w:rsid w:val="00CB5D13"/>
    <w:rsid w:val="00CF4D0E"/>
    <w:rsid w:val="00D0608D"/>
    <w:rsid w:val="00D37CA9"/>
    <w:rsid w:val="00D4527D"/>
    <w:rsid w:val="00D5323C"/>
    <w:rsid w:val="00D61292"/>
    <w:rsid w:val="00D61CB1"/>
    <w:rsid w:val="00D65352"/>
    <w:rsid w:val="00DA0AC3"/>
    <w:rsid w:val="00DE1BA0"/>
    <w:rsid w:val="00DF2BCE"/>
    <w:rsid w:val="00DF4462"/>
    <w:rsid w:val="00DF49B5"/>
    <w:rsid w:val="00E062B8"/>
    <w:rsid w:val="00E26C0D"/>
    <w:rsid w:val="00E45B45"/>
    <w:rsid w:val="00E56276"/>
    <w:rsid w:val="00E6210F"/>
    <w:rsid w:val="00E66743"/>
    <w:rsid w:val="00E73423"/>
    <w:rsid w:val="00EA7909"/>
    <w:rsid w:val="00F17202"/>
    <w:rsid w:val="00F24DD2"/>
    <w:rsid w:val="00F27AF2"/>
    <w:rsid w:val="00F85FDB"/>
    <w:rsid w:val="00FB6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6D7C"/>
  <w15:chartTrackingRefBased/>
  <w15:docId w15:val="{1B2E03CD-1723-4BCC-970A-A6A32A92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5EF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85EF5"/>
    <w:rPr>
      <w:sz w:val="20"/>
      <w:szCs w:val="20"/>
    </w:rPr>
  </w:style>
  <w:style w:type="character" w:customStyle="1" w:styleId="TekstprzypisudolnegoZnak">
    <w:name w:val="Tekst przypisu dolnego Znak"/>
    <w:basedOn w:val="Domylnaczcionkaakapitu"/>
    <w:link w:val="Tekstprzypisudolnego"/>
    <w:rsid w:val="00285EF5"/>
    <w:rPr>
      <w:rFonts w:ascii="Times New Roman" w:eastAsia="Times New Roman" w:hAnsi="Times New Roman" w:cs="Times New Roman"/>
      <w:sz w:val="20"/>
      <w:szCs w:val="20"/>
      <w:lang w:eastAsia="pl-PL"/>
    </w:rPr>
  </w:style>
  <w:style w:type="character" w:styleId="Odwoanieprzypisudolnego">
    <w:name w:val="footnote reference"/>
    <w:aliases w:val="FZ,Footnotes refss,callout"/>
    <w:unhideWhenUsed/>
    <w:rsid w:val="00285EF5"/>
    <w:rPr>
      <w:vertAlign w:val="superscript"/>
    </w:rPr>
  </w:style>
  <w:style w:type="paragraph" w:customStyle="1" w:styleId="Default">
    <w:name w:val="Default"/>
    <w:rsid w:val="00285EF5"/>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uiPriority w:val="99"/>
    <w:semiHidden/>
    <w:unhideWhenUsed/>
    <w:rsid w:val="00A2021F"/>
    <w:rPr>
      <w:color w:val="954F72"/>
      <w:u w:val="single"/>
    </w:rPr>
  </w:style>
  <w:style w:type="paragraph" w:styleId="Tekstpodstawowywcity">
    <w:name w:val="Body Text Indent"/>
    <w:basedOn w:val="Normalny"/>
    <w:link w:val="TekstpodstawowywcityZnak"/>
    <w:unhideWhenUsed/>
    <w:rsid w:val="00A2021F"/>
    <w:pPr>
      <w:spacing w:line="360" w:lineRule="auto"/>
      <w:ind w:firstLine="708"/>
      <w:jc w:val="both"/>
    </w:pPr>
    <w:rPr>
      <w:sz w:val="28"/>
    </w:rPr>
  </w:style>
  <w:style w:type="character" w:customStyle="1" w:styleId="TekstpodstawowywcityZnak">
    <w:name w:val="Tekst podstawowy wcięty Znak"/>
    <w:basedOn w:val="Domylnaczcionkaakapitu"/>
    <w:link w:val="Tekstpodstawowywcity"/>
    <w:rsid w:val="00A2021F"/>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F17202"/>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E6210F"/>
    <w:pPr>
      <w:tabs>
        <w:tab w:val="center" w:pos="4536"/>
        <w:tab w:val="right" w:pos="9072"/>
      </w:tabs>
    </w:pPr>
  </w:style>
  <w:style w:type="character" w:customStyle="1" w:styleId="NagwekZnak">
    <w:name w:val="Nagłówek Znak"/>
    <w:basedOn w:val="Domylnaczcionkaakapitu"/>
    <w:link w:val="Nagwek"/>
    <w:uiPriority w:val="99"/>
    <w:rsid w:val="00E621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6210F"/>
    <w:pPr>
      <w:tabs>
        <w:tab w:val="center" w:pos="4536"/>
        <w:tab w:val="right" w:pos="9072"/>
      </w:tabs>
    </w:pPr>
  </w:style>
  <w:style w:type="character" w:customStyle="1" w:styleId="StopkaZnak">
    <w:name w:val="Stopka Znak"/>
    <w:basedOn w:val="Domylnaczcionkaakapitu"/>
    <w:link w:val="Stopka"/>
    <w:uiPriority w:val="99"/>
    <w:rsid w:val="00E6210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37C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CA9"/>
    <w:rPr>
      <w:rFonts w:ascii="Segoe UI" w:eastAsia="Times New Roman" w:hAnsi="Segoe UI" w:cs="Segoe UI"/>
      <w:sz w:val="18"/>
      <w:szCs w:val="18"/>
      <w:lang w:eastAsia="pl-PL"/>
    </w:rPr>
  </w:style>
  <w:style w:type="paragraph" w:customStyle="1" w:styleId="Tekstpodstawowy22">
    <w:name w:val="Tekst podstawowy 22"/>
    <w:basedOn w:val="Normalny"/>
    <w:rsid w:val="00DF2BCE"/>
    <w:pPr>
      <w:overflowPunct w:val="0"/>
      <w:autoSpaceDE w:val="0"/>
      <w:autoSpaceDN w:val="0"/>
      <w:adjustRightInd w:val="0"/>
      <w:spacing w:line="360" w:lineRule="auto"/>
      <w:jc w:val="both"/>
      <w:textAlignment w:val="baseline"/>
    </w:pPr>
    <w:rPr>
      <w:szCs w:val="20"/>
    </w:rPr>
  </w:style>
  <w:style w:type="character" w:styleId="Hipercze">
    <w:name w:val="Hyperlink"/>
    <w:basedOn w:val="Domylnaczcionkaakapitu"/>
    <w:uiPriority w:val="99"/>
    <w:unhideWhenUsed/>
    <w:rsid w:val="00DF2BCE"/>
    <w:rPr>
      <w:color w:val="0563C1" w:themeColor="hyperlink"/>
      <w:u w:val="single"/>
    </w:rPr>
  </w:style>
  <w:style w:type="character" w:styleId="Odwoaniedokomentarza">
    <w:name w:val="annotation reference"/>
    <w:basedOn w:val="Domylnaczcionkaakapitu"/>
    <w:uiPriority w:val="99"/>
    <w:semiHidden/>
    <w:unhideWhenUsed/>
    <w:rsid w:val="00937BEF"/>
    <w:rPr>
      <w:sz w:val="16"/>
      <w:szCs w:val="16"/>
    </w:rPr>
  </w:style>
  <w:style w:type="paragraph" w:styleId="Tekstkomentarza">
    <w:name w:val="annotation text"/>
    <w:basedOn w:val="Normalny"/>
    <w:link w:val="TekstkomentarzaZnak"/>
    <w:uiPriority w:val="99"/>
    <w:semiHidden/>
    <w:unhideWhenUsed/>
    <w:rsid w:val="00937BEF"/>
    <w:rPr>
      <w:sz w:val="20"/>
      <w:szCs w:val="20"/>
    </w:rPr>
  </w:style>
  <w:style w:type="character" w:customStyle="1" w:styleId="TekstkomentarzaZnak">
    <w:name w:val="Tekst komentarza Znak"/>
    <w:basedOn w:val="Domylnaczcionkaakapitu"/>
    <w:link w:val="Tekstkomentarza"/>
    <w:uiPriority w:val="99"/>
    <w:semiHidden/>
    <w:rsid w:val="00937BE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7BEF"/>
    <w:rPr>
      <w:b/>
      <w:bCs/>
    </w:rPr>
  </w:style>
  <w:style w:type="character" w:customStyle="1" w:styleId="TematkomentarzaZnak">
    <w:name w:val="Temat komentarza Znak"/>
    <w:basedOn w:val="TekstkomentarzaZnak"/>
    <w:link w:val="Tematkomentarza"/>
    <w:uiPriority w:val="99"/>
    <w:semiHidden/>
    <w:rsid w:val="00937BEF"/>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937BEF"/>
    <w:rPr>
      <w:color w:val="605E5C"/>
      <w:shd w:val="clear" w:color="auto" w:fill="E1DFDD"/>
    </w:rPr>
  </w:style>
  <w:style w:type="paragraph" w:styleId="NormalnyWeb">
    <w:name w:val="Normal (Web)"/>
    <w:basedOn w:val="Normalny"/>
    <w:uiPriority w:val="99"/>
    <w:semiHidden/>
    <w:unhideWhenUsed/>
    <w:rsid w:val="00E062B8"/>
    <w:pPr>
      <w:spacing w:before="100" w:beforeAutospacing="1" w:after="100" w:afterAutospacing="1"/>
    </w:pPr>
  </w:style>
  <w:style w:type="character" w:customStyle="1" w:styleId="apple-tab-span">
    <w:name w:val="apple-tab-span"/>
    <w:basedOn w:val="Domylnaczcionkaakapitu"/>
    <w:rsid w:val="00E0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0792">
      <w:bodyDiv w:val="1"/>
      <w:marLeft w:val="0"/>
      <w:marRight w:val="0"/>
      <w:marTop w:val="0"/>
      <w:marBottom w:val="0"/>
      <w:divBdr>
        <w:top w:val="none" w:sz="0" w:space="0" w:color="auto"/>
        <w:left w:val="none" w:sz="0" w:space="0" w:color="auto"/>
        <w:bottom w:val="none" w:sz="0" w:space="0" w:color="auto"/>
        <w:right w:val="none" w:sz="0" w:space="0" w:color="auto"/>
      </w:divBdr>
    </w:div>
    <w:div w:id="822888992">
      <w:bodyDiv w:val="1"/>
      <w:marLeft w:val="0"/>
      <w:marRight w:val="0"/>
      <w:marTop w:val="0"/>
      <w:marBottom w:val="0"/>
      <w:divBdr>
        <w:top w:val="none" w:sz="0" w:space="0" w:color="auto"/>
        <w:left w:val="none" w:sz="0" w:space="0" w:color="auto"/>
        <w:bottom w:val="none" w:sz="0" w:space="0" w:color="auto"/>
        <w:right w:val="none" w:sz="0" w:space="0" w:color="auto"/>
      </w:divBdr>
    </w:div>
    <w:div w:id="1117598072">
      <w:bodyDiv w:val="1"/>
      <w:marLeft w:val="0"/>
      <w:marRight w:val="0"/>
      <w:marTop w:val="0"/>
      <w:marBottom w:val="0"/>
      <w:divBdr>
        <w:top w:val="none" w:sz="0" w:space="0" w:color="auto"/>
        <w:left w:val="none" w:sz="0" w:space="0" w:color="auto"/>
        <w:bottom w:val="none" w:sz="0" w:space="0" w:color="auto"/>
        <w:right w:val="none" w:sz="0" w:space="0" w:color="auto"/>
      </w:divBdr>
    </w:div>
    <w:div w:id="21350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315D-122D-4AA5-AE2F-DDC9E66C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4072</Words>
  <Characters>24436</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Karol K</cp:lastModifiedBy>
  <cp:revision>2</cp:revision>
  <cp:lastPrinted>2025-07-02T12:45:00Z</cp:lastPrinted>
  <dcterms:created xsi:type="dcterms:W3CDTF">2025-09-16T17:27:00Z</dcterms:created>
  <dcterms:modified xsi:type="dcterms:W3CDTF">2025-09-16T17:27:00Z</dcterms:modified>
</cp:coreProperties>
</file>